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16" w:rsidRDefault="00B57E16" w:rsidP="00C57A43">
      <w:pPr>
        <w:tabs>
          <w:tab w:val="left" w:pos="7088"/>
        </w:tabs>
        <w:spacing w:after="0" w:line="360" w:lineRule="auto"/>
        <w:ind w:right="1984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A1B7F">
        <w:rPr>
          <w:rFonts w:ascii="Arial" w:hAnsi="Arial" w:cs="Arial"/>
          <w:b/>
          <w:sz w:val="24"/>
          <w:szCs w:val="24"/>
        </w:rPr>
        <w:t xml:space="preserve">Kriterienkatalog für die umweltfreundliche Beschaffung von </w:t>
      </w:r>
      <w:r w:rsidR="00E05052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lastischen Fußbodenbelägen </w:t>
      </w:r>
    </w:p>
    <w:p w:rsidR="00B57E16" w:rsidRPr="00AA1B7F" w:rsidRDefault="00B57E16" w:rsidP="00AA1B7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5863"/>
        <w:gridCol w:w="1417"/>
        <w:gridCol w:w="1560"/>
      </w:tblGrid>
      <w:tr w:rsidR="00B57E16" w:rsidRPr="00812103" w:rsidTr="00625816">
        <w:trPr>
          <w:trHeight w:val="152"/>
        </w:trPr>
        <w:tc>
          <w:tcPr>
            <w:tcW w:w="766" w:type="dxa"/>
            <w:shd w:val="clear" w:color="auto" w:fill="C0C0C0"/>
            <w:vAlign w:val="center"/>
          </w:tcPr>
          <w:p w:rsidR="00B57E16" w:rsidRDefault="00B57E16" w:rsidP="00514070">
            <w:pPr>
              <w:pStyle w:val="berschrift3"/>
            </w:pPr>
            <w:r>
              <w:t>Ziffer</w:t>
            </w:r>
          </w:p>
        </w:tc>
        <w:tc>
          <w:tcPr>
            <w:tcW w:w="5863" w:type="dxa"/>
            <w:shd w:val="clear" w:color="auto" w:fill="C0C0C0"/>
            <w:vAlign w:val="center"/>
          </w:tcPr>
          <w:p w:rsidR="00B57E16" w:rsidRDefault="00B57E16" w:rsidP="00514070">
            <w:pPr>
              <w:pStyle w:val="berschrift3"/>
            </w:pPr>
            <w:r>
              <w:t>Kriterium</w:t>
            </w:r>
          </w:p>
        </w:tc>
        <w:tc>
          <w:tcPr>
            <w:tcW w:w="1417" w:type="dxa"/>
            <w:shd w:val="clear" w:color="auto" w:fill="C0C0C0"/>
          </w:tcPr>
          <w:p w:rsidR="00B57E16" w:rsidRPr="00625816" w:rsidRDefault="00625816" w:rsidP="00625816">
            <w:pPr>
              <w:pStyle w:val="berschrift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Ausschluss</w:t>
            </w:r>
            <w:r>
              <w:rPr>
                <w:sz w:val="21"/>
                <w:szCs w:val="21"/>
              </w:rPr>
              <w:softHyphen/>
            </w:r>
            <w:r w:rsidR="00B57E16" w:rsidRPr="00625816">
              <w:rPr>
                <w:sz w:val="21"/>
                <w:szCs w:val="21"/>
              </w:rPr>
              <w:t>kriterium</w:t>
            </w:r>
          </w:p>
        </w:tc>
        <w:tc>
          <w:tcPr>
            <w:tcW w:w="1560" w:type="dxa"/>
            <w:shd w:val="clear" w:color="auto" w:fill="C0C0C0"/>
          </w:tcPr>
          <w:p w:rsidR="00B57E16" w:rsidRPr="00625816" w:rsidRDefault="00B57E16" w:rsidP="00514070">
            <w:pPr>
              <w:pStyle w:val="berschrift3"/>
              <w:rPr>
                <w:sz w:val="21"/>
                <w:szCs w:val="21"/>
              </w:rPr>
            </w:pPr>
            <w:r w:rsidRPr="00625816">
              <w:rPr>
                <w:sz w:val="21"/>
                <w:szCs w:val="21"/>
              </w:rPr>
              <w:t>Bewertungs-kriterium</w:t>
            </w:r>
          </w:p>
        </w:tc>
      </w:tr>
      <w:tr w:rsidR="00B57E16" w:rsidRPr="00812103" w:rsidTr="00625816">
        <w:tc>
          <w:tcPr>
            <w:tcW w:w="766" w:type="dxa"/>
            <w:shd w:val="clear" w:color="auto" w:fill="C0C0C0"/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63" w:type="dxa"/>
            <w:shd w:val="clear" w:color="auto" w:fill="C0C0C0"/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Herstellung</w:t>
            </w:r>
          </w:p>
        </w:tc>
        <w:tc>
          <w:tcPr>
            <w:tcW w:w="1417" w:type="dxa"/>
            <w:shd w:val="clear" w:color="auto" w:fill="C0C0C0"/>
          </w:tcPr>
          <w:p w:rsidR="00B57E16" w:rsidRPr="00812103" w:rsidRDefault="00B57E16" w:rsidP="00A61756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C0C0C0"/>
          </w:tcPr>
          <w:p w:rsidR="00B57E16" w:rsidRPr="00812103" w:rsidRDefault="00B57E16" w:rsidP="00A61756">
            <w:pPr>
              <w:jc w:val="center"/>
            </w:pPr>
          </w:p>
        </w:tc>
      </w:tr>
      <w:tr w:rsidR="00B57E16" w:rsidRPr="00812103" w:rsidTr="00316D07">
        <w:tc>
          <w:tcPr>
            <w:tcW w:w="766" w:type="dxa"/>
            <w:tcBorders>
              <w:bottom w:val="single" w:sz="4" w:space="0" w:color="auto"/>
            </w:tcBorders>
            <w:shd w:val="clear" w:color="auto" w:fill="E6E6E6"/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12103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863" w:type="dxa"/>
            <w:tcBorders>
              <w:bottom w:val="single" w:sz="4" w:space="0" w:color="auto"/>
            </w:tcBorders>
            <w:shd w:val="clear" w:color="auto" w:fill="E6E6E6"/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Allgemeine stoffliche Anforderungen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</w:tcPr>
          <w:p w:rsidR="00B57E16" w:rsidRPr="00812103" w:rsidRDefault="00B57E16" w:rsidP="00A61756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</w:tcPr>
          <w:p w:rsidR="00B57E16" w:rsidRPr="00812103" w:rsidRDefault="00B57E16" w:rsidP="00A61756">
            <w:pPr>
              <w:jc w:val="center"/>
            </w:pPr>
          </w:p>
        </w:tc>
      </w:tr>
    </w:tbl>
    <w:p w:rsidR="00B57E16" w:rsidRDefault="00B57E16" w:rsidP="00514070">
      <w:pPr>
        <w:spacing w:before="20" w:after="20"/>
        <w:rPr>
          <w:rFonts w:ascii="Arial" w:hAnsi="Arial" w:cs="Arial"/>
          <w:sz w:val="20"/>
          <w:szCs w:val="20"/>
        </w:rPr>
        <w:sectPr w:rsidR="00B57E16" w:rsidSect="00B11F6F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2"/>
        <w:gridCol w:w="5867"/>
        <w:gridCol w:w="1424"/>
        <w:gridCol w:w="1553"/>
      </w:tblGrid>
      <w:tr w:rsidR="00B57E16" w:rsidRPr="00812103" w:rsidTr="00316D07">
        <w:tc>
          <w:tcPr>
            <w:tcW w:w="762" w:type="dxa"/>
            <w:tcBorders>
              <w:top w:val="single" w:sz="2" w:space="0" w:color="auto"/>
            </w:tcBorders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7" w:type="dxa"/>
            <w:tcBorders>
              <w:top w:val="single" w:sz="2" w:space="0" w:color="auto"/>
            </w:tcBorders>
          </w:tcPr>
          <w:p w:rsidR="005D1E6D" w:rsidRPr="005D1E6D" w:rsidRDefault="005D1E6D" w:rsidP="003612D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D1E6D">
              <w:rPr>
                <w:rFonts w:ascii="Arial" w:hAnsi="Arial" w:cs="Arial"/>
                <w:sz w:val="20"/>
                <w:szCs w:val="20"/>
                <w:lang w:eastAsia="de-DE"/>
              </w:rPr>
              <w:t xml:space="preserve">Von den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nachstehenden </w:t>
            </w:r>
            <w:r w:rsidRPr="005D1E6D">
              <w:rPr>
                <w:rFonts w:ascii="Arial" w:hAnsi="Arial" w:cs="Arial"/>
                <w:sz w:val="20"/>
                <w:szCs w:val="20"/>
                <w:lang w:eastAsia="de-DE"/>
              </w:rPr>
              <w:t>Regelungen ausgenommen sind:</w:t>
            </w:r>
          </w:p>
          <w:p w:rsidR="005D1E6D" w:rsidRPr="005D1E6D" w:rsidRDefault="005D1E6D" w:rsidP="003612DE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D1E6D">
              <w:rPr>
                <w:rFonts w:ascii="Arial" w:hAnsi="Arial" w:cs="Arial"/>
                <w:sz w:val="20"/>
                <w:szCs w:val="20"/>
                <w:lang w:eastAsia="de-DE"/>
              </w:rPr>
              <w:t xml:space="preserve">prozessbedingte, technisch unvermeidbare Verunreinigungen die unterhalb der Einstufungsgrenzen für Gemische liegen. </w:t>
            </w:r>
          </w:p>
          <w:p w:rsidR="005D1E6D" w:rsidRDefault="005D1E6D" w:rsidP="003612DE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D1E6D">
              <w:rPr>
                <w:rFonts w:ascii="Arial" w:hAnsi="Arial" w:cs="Arial"/>
                <w:sz w:val="20"/>
                <w:szCs w:val="20"/>
                <w:lang w:eastAsia="de-DE"/>
              </w:rPr>
              <w:t>Monomere oder Additive, die bei der Kunststoffherstellung zu Polymeren reagieren oder chemisch fest (kovalent) in den Kunststoff eingebunden werden, wenn ihre Restkonzentrationen unterhalb der Einstufungsgrenze für Gemische liegen.</w:t>
            </w:r>
          </w:p>
          <w:p w:rsidR="00B57E16" w:rsidRPr="0029300C" w:rsidRDefault="005D1E6D" w:rsidP="003612D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Elastische Fußbodenbeläge</w:t>
            </w:r>
            <w:r w:rsidR="00B57E16" w:rsidRPr="0029300C">
              <w:rPr>
                <w:rFonts w:ascii="Arial" w:hAnsi="Arial" w:cs="Arial"/>
                <w:sz w:val="20"/>
                <w:szCs w:val="20"/>
                <w:lang w:eastAsia="de-DE"/>
              </w:rPr>
              <w:t xml:space="preserve"> dürfen keine Stoffe mit folgenden Eigenschaften als konstitutionelle Bestandteile (d.h. Stoffe, die im Endprodukt verbleiben und in diesem eine Funktion erfüllen) enthalten:</w:t>
            </w:r>
          </w:p>
          <w:p w:rsidR="00B57E16" w:rsidRPr="00EA5744" w:rsidRDefault="00B57E16" w:rsidP="003612DE">
            <w:pPr>
              <w:numPr>
                <w:ilvl w:val="1"/>
                <w:numId w:val="1"/>
              </w:numPr>
              <w:tabs>
                <w:tab w:val="num" w:pos="796"/>
              </w:tabs>
              <w:autoSpaceDE w:val="0"/>
              <w:autoSpaceDN w:val="0"/>
              <w:adjustRightInd w:val="0"/>
              <w:spacing w:before="40" w:after="120" w:line="240" w:lineRule="auto"/>
              <w:ind w:left="641" w:hanging="284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29300C">
              <w:rPr>
                <w:rFonts w:ascii="Arial" w:hAnsi="Arial" w:cs="Arial"/>
                <w:sz w:val="20"/>
                <w:szCs w:val="20"/>
                <w:lang w:eastAsia="de-DE"/>
              </w:rPr>
              <w:t>Stoffe, die unter der Chemikalienverordnung REACH (EG/1906/2006) als besonders besorgniserregend identifiziert und in die gemäß REACH Artikel 59 Absatz 1 erstellte Liste (sogenannte „Kandidatenliste“)</w:t>
            </w:r>
            <w:r w:rsidR="00EA5744">
              <w:rPr>
                <w:rStyle w:val="Funotenzeichen"/>
                <w:rFonts w:ascii="Arial" w:hAnsi="Arial"/>
                <w:sz w:val="20"/>
                <w:szCs w:val="20"/>
                <w:lang w:eastAsia="de-DE"/>
              </w:rPr>
              <w:footnoteReference w:id="1"/>
            </w:r>
            <w:r w:rsidRPr="0029300C">
              <w:rPr>
                <w:rFonts w:ascii="Arial" w:hAnsi="Arial" w:cs="Arial"/>
                <w:sz w:val="20"/>
                <w:szCs w:val="20"/>
                <w:lang w:eastAsia="de-DE"/>
              </w:rPr>
              <w:t xml:space="preserve"> aufgenommen wurden. Es </w:t>
            </w:r>
            <w:r w:rsidRPr="00EA5744">
              <w:rPr>
                <w:rFonts w:ascii="Arial" w:hAnsi="Arial" w:cs="Arial"/>
                <w:sz w:val="20"/>
                <w:szCs w:val="20"/>
                <w:lang w:eastAsia="de-DE"/>
              </w:rPr>
              <w:t xml:space="preserve">gilt die </w:t>
            </w:r>
            <w:r w:rsidRPr="00EA5744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jeweils aktuelle</w:t>
            </w:r>
            <w:r w:rsidRPr="00EA5744">
              <w:rPr>
                <w:rFonts w:ascii="Arial" w:hAnsi="Arial" w:cs="Arial"/>
                <w:sz w:val="20"/>
                <w:szCs w:val="20"/>
                <w:lang w:eastAsia="de-DE"/>
              </w:rPr>
              <w:t xml:space="preserve"> Fassung der Kandidatenliste. </w:t>
            </w:r>
          </w:p>
          <w:p w:rsidR="006A1CD4" w:rsidRPr="001F31BD" w:rsidRDefault="00B57E16" w:rsidP="003612D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9300C">
              <w:rPr>
                <w:rFonts w:ascii="Arial" w:hAnsi="Arial" w:cs="Arial"/>
                <w:sz w:val="20"/>
                <w:szCs w:val="20"/>
                <w:lang w:eastAsia="de-DE"/>
              </w:rPr>
              <w:t xml:space="preserve">Stoffe, die gemäß den Kriterien der EG-Verordnung 1272/2008 (oder der Richtlinie 67/548/EWG) mit den </w:t>
            </w:r>
            <w:r w:rsidR="005D1E6D">
              <w:rPr>
                <w:rFonts w:ascii="Arial" w:hAnsi="Arial" w:cs="Arial"/>
                <w:sz w:val="20"/>
                <w:szCs w:val="20"/>
                <w:lang w:eastAsia="de-DE"/>
              </w:rPr>
              <w:t xml:space="preserve">im Folgenden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genannten H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noBreakHyphen/>
            </w:r>
            <w:r w:rsidRPr="0029300C">
              <w:rPr>
                <w:rFonts w:ascii="Arial" w:hAnsi="Arial" w:cs="Arial"/>
                <w:sz w:val="20"/>
                <w:szCs w:val="20"/>
                <w:lang w:eastAsia="de-DE"/>
              </w:rPr>
              <w:t xml:space="preserve">Sätzen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bzw. R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noBreakHyphen/>
              <w:t>Sätzen</w:t>
            </w:r>
            <w:r w:rsidRPr="0029300C">
              <w:rPr>
                <w:rFonts w:ascii="Arial" w:hAnsi="Arial" w:cs="Arial"/>
                <w:sz w:val="20"/>
                <w:szCs w:val="20"/>
                <w:lang w:eastAsia="de-DE"/>
              </w:rPr>
              <w:t xml:space="preserve"> eingestuft sind oder die die Kriterien für eine solche Einstufung erfüllen.</w:t>
            </w:r>
          </w:p>
          <w:p w:rsidR="00172230" w:rsidRPr="00C55C29" w:rsidRDefault="006A1CD4" w:rsidP="001F31BD">
            <w:pPr>
              <w:spacing w:after="40" w:line="240" w:lineRule="auto"/>
              <w:ind w:left="369"/>
              <w:rPr>
                <w:rFonts w:ascii="Arial" w:hAnsi="Arial" w:cs="Arial"/>
                <w:i/>
                <w:sz w:val="18"/>
                <w:szCs w:val="20"/>
              </w:rPr>
            </w:pPr>
            <w:r w:rsidRPr="00C55C29">
              <w:rPr>
                <w:rFonts w:ascii="Arial" w:hAnsi="Arial" w:cs="Arial"/>
                <w:i/>
                <w:sz w:val="18"/>
                <w:szCs w:val="20"/>
              </w:rPr>
              <w:t xml:space="preserve">EG-Verordnung 1272/2008 (GHS-System), Richtlinie 67/548/EWG (Stoffrichtlinie): Wortlaut </w:t>
            </w:r>
          </w:p>
          <w:p w:rsidR="00172230" w:rsidRPr="00C55C29" w:rsidRDefault="00172230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b/>
                <w:sz w:val="18"/>
                <w:szCs w:val="20"/>
                <w:lang w:eastAsia="de-DE"/>
              </w:rPr>
              <w:t>Toxische Stoffe</w:t>
            </w:r>
            <w:r w:rsidRPr="00C55C2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6A1CD4" w:rsidRPr="00C55C29" w:rsidRDefault="006A1CD4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H300, R28: Lebensgefahr bei Verschlucken</w:t>
            </w:r>
          </w:p>
          <w:p w:rsidR="006A1CD4" w:rsidRPr="00C55C29" w:rsidRDefault="006A1CD4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H301, R25: Giftig bei Verschlucken</w:t>
            </w:r>
          </w:p>
          <w:p w:rsidR="006A1CD4" w:rsidRPr="00C55C29" w:rsidRDefault="006A1CD4" w:rsidP="004B655F">
            <w:pPr>
              <w:spacing w:after="40" w:line="240" w:lineRule="auto"/>
              <w:ind w:left="1506" w:hanging="1137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H304, R65: Kann bei Verschlucken und Eindringen in die Atemwege tödlich sein</w:t>
            </w:r>
            <w:r w:rsidR="001F31BD" w:rsidRPr="00C55C29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172230" w:rsidRPr="00C55C29" w:rsidRDefault="00172230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H310, R27: Lebensgefahr bei Hautkontakt</w:t>
            </w:r>
          </w:p>
          <w:p w:rsidR="00172230" w:rsidRPr="00C55C29" w:rsidRDefault="00172230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H311, R24: Giftig bei Hautkontakt</w:t>
            </w:r>
          </w:p>
          <w:p w:rsidR="00172230" w:rsidRPr="00C55C29" w:rsidRDefault="00172230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H330, R26: Lebensgefahr bei Einatmen</w:t>
            </w:r>
          </w:p>
          <w:p w:rsidR="00172230" w:rsidRPr="00C55C29" w:rsidRDefault="00172230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H331, R23: Giftig bei Einatmen</w:t>
            </w:r>
          </w:p>
          <w:p w:rsidR="00172230" w:rsidRPr="00C55C29" w:rsidRDefault="00172230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H370, R39/</w:t>
            </w:r>
            <w:r w:rsidR="004B655F" w:rsidRPr="00C55C29">
              <w:rPr>
                <w:rFonts w:ascii="Arial" w:hAnsi="Arial" w:cs="Arial"/>
                <w:sz w:val="18"/>
                <w:szCs w:val="20"/>
              </w:rPr>
              <w:t>23/24/25</w:t>
            </w:r>
            <w:r w:rsidRPr="00C55C29">
              <w:rPr>
                <w:rFonts w:ascii="Arial" w:hAnsi="Arial" w:cs="Arial"/>
                <w:sz w:val="18"/>
                <w:szCs w:val="20"/>
              </w:rPr>
              <w:t>/26/</w:t>
            </w:r>
            <w:r w:rsidR="004B655F" w:rsidRPr="00C55C29">
              <w:rPr>
                <w:rFonts w:ascii="Arial" w:hAnsi="Arial" w:cs="Arial"/>
                <w:sz w:val="18"/>
                <w:szCs w:val="20"/>
              </w:rPr>
              <w:t>27/28</w:t>
            </w:r>
            <w:r w:rsidRPr="00C55C29">
              <w:rPr>
                <w:rFonts w:ascii="Arial" w:hAnsi="Arial" w:cs="Arial"/>
                <w:sz w:val="18"/>
                <w:szCs w:val="20"/>
              </w:rPr>
              <w:t>: Schädigt die Organe</w:t>
            </w:r>
          </w:p>
          <w:p w:rsidR="00172230" w:rsidRPr="00C55C29" w:rsidRDefault="00172230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H372, R48/25/24/23: Schädigt die Organe</w:t>
            </w:r>
          </w:p>
          <w:p w:rsidR="00865982" w:rsidRDefault="00865982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</w:p>
          <w:p w:rsidR="00C55C29" w:rsidRDefault="00C55C29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</w:p>
          <w:p w:rsidR="002B4F9B" w:rsidRDefault="002B4F9B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</w:p>
          <w:p w:rsidR="002B4F9B" w:rsidRPr="00C55C29" w:rsidRDefault="002B4F9B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</w:p>
          <w:p w:rsidR="00172230" w:rsidRPr="00C55C29" w:rsidRDefault="00172230" w:rsidP="001F31BD">
            <w:pPr>
              <w:spacing w:after="40" w:line="240" w:lineRule="auto"/>
              <w:ind w:left="369"/>
              <w:rPr>
                <w:rFonts w:ascii="Arial" w:hAnsi="Arial" w:cs="Arial"/>
                <w:b/>
                <w:sz w:val="18"/>
                <w:szCs w:val="20"/>
              </w:rPr>
            </w:pPr>
            <w:r w:rsidRPr="00C55C29">
              <w:rPr>
                <w:rFonts w:ascii="Arial" w:hAnsi="Arial" w:cs="Arial"/>
                <w:b/>
                <w:sz w:val="18"/>
                <w:szCs w:val="20"/>
              </w:rPr>
              <w:lastRenderedPageBreak/>
              <w:t>Krebserzeugende, erbgutverändernde und fortpflanzungsgefährdende Stoffe</w:t>
            </w:r>
          </w:p>
          <w:p w:rsidR="006A1CD4" w:rsidRPr="00C55C29" w:rsidRDefault="006A1CD4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H340, R46: Kann</w:t>
            </w:r>
            <w:r w:rsidR="00C55C29" w:rsidRPr="00C55C29">
              <w:rPr>
                <w:rFonts w:ascii="Arial" w:hAnsi="Arial" w:cs="Arial"/>
                <w:sz w:val="18"/>
                <w:szCs w:val="20"/>
              </w:rPr>
              <w:t xml:space="preserve"> genetische Defekte verursachen.</w:t>
            </w:r>
          </w:p>
          <w:p w:rsidR="006A1CD4" w:rsidRPr="00C55C29" w:rsidRDefault="00C55C29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H350, R45: Kann Krebs erzeugen.</w:t>
            </w:r>
          </w:p>
          <w:p w:rsidR="006A1CD4" w:rsidRPr="00C55C29" w:rsidRDefault="006A1CD4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H350i, R49: K</w:t>
            </w:r>
            <w:r w:rsidR="001F31BD" w:rsidRPr="00C55C29">
              <w:rPr>
                <w:rFonts w:ascii="Arial" w:hAnsi="Arial" w:cs="Arial"/>
                <w:sz w:val="18"/>
                <w:szCs w:val="20"/>
              </w:rPr>
              <w:t>ann bei Einatmen Krebs erzeugen.</w:t>
            </w:r>
          </w:p>
          <w:p w:rsidR="006A1CD4" w:rsidRPr="00C55C29" w:rsidRDefault="006A1CD4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H360F, R60: Kann di</w:t>
            </w:r>
            <w:r w:rsidR="001F31BD" w:rsidRPr="00C55C29">
              <w:rPr>
                <w:rFonts w:ascii="Arial" w:hAnsi="Arial" w:cs="Arial"/>
                <w:sz w:val="18"/>
                <w:szCs w:val="20"/>
              </w:rPr>
              <w:t>e Fruchtbarkeit beeinträchtigen.</w:t>
            </w:r>
          </w:p>
          <w:p w:rsidR="006A1CD4" w:rsidRPr="00C55C29" w:rsidRDefault="006A1CD4" w:rsidP="001F31BD">
            <w:pPr>
              <w:spacing w:after="4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H360D, R61: Kann d</w:t>
            </w:r>
            <w:r w:rsidR="001F31BD" w:rsidRPr="00C55C29">
              <w:rPr>
                <w:rFonts w:ascii="Arial" w:hAnsi="Arial" w:cs="Arial"/>
                <w:sz w:val="18"/>
                <w:szCs w:val="20"/>
              </w:rPr>
              <w:t>as Kind im Mutterleib schädigen.</w:t>
            </w:r>
          </w:p>
          <w:p w:rsidR="006A1CD4" w:rsidRPr="00C55C29" w:rsidRDefault="006A1CD4" w:rsidP="00C55C29">
            <w:pPr>
              <w:spacing w:after="40" w:line="240" w:lineRule="auto"/>
              <w:ind w:left="1506" w:hanging="1134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H360FD, R60/61: Kann die Fruchtbarkeit beeinträchtigen. Kann das Kind im Mutterleib schädigen.</w:t>
            </w:r>
          </w:p>
          <w:p w:rsidR="006A1CD4" w:rsidRPr="00C55C29" w:rsidRDefault="006A1CD4" w:rsidP="00C55C29">
            <w:pPr>
              <w:spacing w:after="40" w:line="240" w:lineRule="auto"/>
              <w:ind w:left="1506" w:hanging="1137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H360Fd, R60/63: Kann die Fruchtbarkeit beeinträchtigen. Kann vermutlich das Kind im Mutterleib schädigen.</w:t>
            </w:r>
          </w:p>
          <w:p w:rsidR="006A1CD4" w:rsidRPr="00C55C29" w:rsidRDefault="006A1CD4" w:rsidP="00C55C29">
            <w:pPr>
              <w:spacing w:after="40" w:line="240" w:lineRule="auto"/>
              <w:ind w:left="1506" w:hanging="1137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H360Df, R61/62: Kann das Kind im Mutterleib schädigen. Kann vermutlich die Fruchtbarkeit beeinträchtigen.</w:t>
            </w:r>
          </w:p>
          <w:p w:rsidR="00B57E16" w:rsidRPr="00C55C29" w:rsidRDefault="001F31BD" w:rsidP="00C55C29">
            <w:pPr>
              <w:autoSpaceDE w:val="0"/>
              <w:autoSpaceDN w:val="0"/>
              <w:adjustRightInd w:val="0"/>
              <w:spacing w:before="40" w:after="120" w:line="240" w:lineRule="auto"/>
              <w:ind w:left="369"/>
              <w:rPr>
                <w:rFonts w:ascii="Arial" w:hAnsi="Arial" w:cs="Arial"/>
                <w:sz w:val="18"/>
                <w:szCs w:val="20"/>
              </w:rPr>
            </w:pPr>
            <w:r w:rsidRPr="00C55C29">
              <w:rPr>
                <w:rFonts w:ascii="Arial" w:hAnsi="Arial" w:cs="Arial"/>
                <w:sz w:val="18"/>
                <w:szCs w:val="20"/>
              </w:rPr>
              <w:t>H362, R64</w:t>
            </w:r>
            <w:r w:rsidR="006A1CD4" w:rsidRPr="00C55C29">
              <w:rPr>
                <w:rFonts w:ascii="Arial" w:hAnsi="Arial" w:cs="Arial"/>
                <w:sz w:val="18"/>
                <w:szCs w:val="20"/>
              </w:rPr>
              <w:t xml:space="preserve">: Kann </w:t>
            </w:r>
            <w:r w:rsidRPr="00C55C29">
              <w:rPr>
                <w:rFonts w:ascii="Arial" w:hAnsi="Arial" w:cs="Arial"/>
                <w:sz w:val="18"/>
                <w:szCs w:val="20"/>
              </w:rPr>
              <w:t>Säuglinge über die Muttermilch schädigen.</w:t>
            </w:r>
          </w:p>
          <w:p w:rsidR="001F31BD" w:rsidRPr="00C55C29" w:rsidRDefault="001F31BD" w:rsidP="001F31BD">
            <w:pPr>
              <w:autoSpaceDE w:val="0"/>
              <w:autoSpaceDN w:val="0"/>
              <w:adjustRightInd w:val="0"/>
              <w:spacing w:before="40" w:after="40" w:line="240" w:lineRule="auto"/>
              <w:ind w:left="368"/>
              <w:rPr>
                <w:rFonts w:ascii="Arial" w:hAnsi="Arial" w:cs="Arial"/>
                <w:b/>
                <w:sz w:val="18"/>
                <w:szCs w:val="20"/>
                <w:lang w:eastAsia="de-DE"/>
              </w:rPr>
            </w:pPr>
            <w:r w:rsidRPr="00C55C29">
              <w:rPr>
                <w:rFonts w:ascii="Arial" w:hAnsi="Arial" w:cs="Arial"/>
                <w:b/>
                <w:sz w:val="18"/>
                <w:szCs w:val="20"/>
                <w:lang w:eastAsia="de-DE"/>
              </w:rPr>
              <w:t>Gewässergefährdende Stoffe</w:t>
            </w:r>
          </w:p>
          <w:p w:rsidR="001F31BD" w:rsidRPr="00C55C29" w:rsidRDefault="001F31BD" w:rsidP="001F31BD">
            <w:pPr>
              <w:autoSpaceDE w:val="0"/>
              <w:autoSpaceDN w:val="0"/>
              <w:adjustRightInd w:val="0"/>
              <w:spacing w:before="40" w:after="40" w:line="240" w:lineRule="auto"/>
              <w:ind w:left="368"/>
              <w:rPr>
                <w:rFonts w:ascii="Arial" w:hAnsi="Arial" w:cs="Arial"/>
                <w:sz w:val="18"/>
                <w:szCs w:val="20"/>
                <w:lang w:eastAsia="de-DE"/>
              </w:rPr>
            </w:pPr>
            <w:r w:rsidRPr="00C55C29">
              <w:rPr>
                <w:rFonts w:ascii="Arial" w:hAnsi="Arial" w:cs="Arial"/>
                <w:sz w:val="18"/>
                <w:szCs w:val="20"/>
                <w:lang w:eastAsia="de-DE"/>
              </w:rPr>
              <w:t>H400, R50: Sehr giftig für Wasserorganismen.</w:t>
            </w:r>
          </w:p>
          <w:p w:rsidR="001F31BD" w:rsidRPr="00C55C29" w:rsidRDefault="001F31BD" w:rsidP="00C55C29">
            <w:pPr>
              <w:autoSpaceDE w:val="0"/>
              <w:autoSpaceDN w:val="0"/>
              <w:adjustRightInd w:val="0"/>
              <w:spacing w:before="40" w:after="40" w:line="240" w:lineRule="auto"/>
              <w:ind w:left="1648" w:hanging="1280"/>
              <w:rPr>
                <w:rFonts w:ascii="Arial" w:hAnsi="Arial" w:cs="Arial"/>
                <w:sz w:val="18"/>
                <w:szCs w:val="20"/>
                <w:lang w:eastAsia="de-DE"/>
              </w:rPr>
            </w:pPr>
            <w:r w:rsidRPr="00C55C29">
              <w:rPr>
                <w:rFonts w:ascii="Arial" w:hAnsi="Arial" w:cs="Arial"/>
                <w:sz w:val="18"/>
                <w:szCs w:val="20"/>
                <w:lang w:eastAsia="de-DE"/>
              </w:rPr>
              <w:t>H410, R50/53: Sehr giftig für Wasserorganismen mit langfristiger Wirkung.</w:t>
            </w:r>
          </w:p>
          <w:p w:rsidR="001F31BD" w:rsidRPr="00C55C29" w:rsidRDefault="001F31BD" w:rsidP="00C55C29">
            <w:pPr>
              <w:autoSpaceDE w:val="0"/>
              <w:autoSpaceDN w:val="0"/>
              <w:adjustRightInd w:val="0"/>
              <w:spacing w:before="40" w:after="120" w:line="240" w:lineRule="auto"/>
              <w:ind w:left="1648" w:hanging="1279"/>
              <w:rPr>
                <w:rFonts w:ascii="Arial" w:hAnsi="Arial" w:cs="Arial"/>
                <w:sz w:val="18"/>
                <w:szCs w:val="20"/>
                <w:lang w:eastAsia="de-DE"/>
              </w:rPr>
            </w:pPr>
            <w:r w:rsidRPr="00C55C29">
              <w:rPr>
                <w:rFonts w:ascii="Arial" w:hAnsi="Arial" w:cs="Arial"/>
                <w:sz w:val="18"/>
                <w:szCs w:val="20"/>
                <w:lang w:eastAsia="de-DE"/>
              </w:rPr>
              <w:t>H411, R51/53: Giftig für Wasserorganismen mit langfristiger Wirkung.</w:t>
            </w:r>
          </w:p>
          <w:p w:rsidR="001F31BD" w:rsidRPr="00C55C29" w:rsidRDefault="001F31BD" w:rsidP="001F31BD">
            <w:pPr>
              <w:autoSpaceDE w:val="0"/>
              <w:autoSpaceDN w:val="0"/>
              <w:adjustRightInd w:val="0"/>
              <w:spacing w:before="40" w:after="40" w:line="240" w:lineRule="auto"/>
              <w:ind w:left="368"/>
              <w:rPr>
                <w:rFonts w:ascii="Arial" w:hAnsi="Arial" w:cs="Arial"/>
                <w:b/>
                <w:sz w:val="18"/>
                <w:szCs w:val="20"/>
                <w:lang w:eastAsia="de-DE"/>
              </w:rPr>
            </w:pPr>
            <w:r w:rsidRPr="00C55C29">
              <w:rPr>
                <w:rFonts w:ascii="Arial" w:hAnsi="Arial" w:cs="Arial"/>
                <w:b/>
                <w:sz w:val="18"/>
                <w:szCs w:val="20"/>
                <w:lang w:eastAsia="de-DE"/>
              </w:rPr>
              <w:t>Sonstige Gesundheits- oder Umweltwirkungen</w:t>
            </w:r>
          </w:p>
          <w:p w:rsidR="001F31BD" w:rsidRPr="00C55C29" w:rsidRDefault="001F31BD" w:rsidP="001F31BD">
            <w:pPr>
              <w:autoSpaceDE w:val="0"/>
              <w:autoSpaceDN w:val="0"/>
              <w:adjustRightInd w:val="0"/>
              <w:spacing w:before="40" w:after="40" w:line="240" w:lineRule="auto"/>
              <w:ind w:left="368"/>
              <w:rPr>
                <w:rFonts w:ascii="Arial" w:hAnsi="Arial" w:cs="Arial"/>
                <w:sz w:val="18"/>
                <w:szCs w:val="20"/>
                <w:lang w:eastAsia="de-DE"/>
              </w:rPr>
            </w:pPr>
            <w:r w:rsidRPr="00C55C29">
              <w:rPr>
                <w:rFonts w:ascii="Arial" w:hAnsi="Arial" w:cs="Arial"/>
                <w:sz w:val="18"/>
                <w:szCs w:val="20"/>
                <w:lang w:eastAsia="de-DE"/>
              </w:rPr>
              <w:t>EUH059, R59: Die Ozonschicht schädigend</w:t>
            </w:r>
          </w:p>
          <w:p w:rsidR="00B57E16" w:rsidRPr="005D1E6D" w:rsidRDefault="00B57E16" w:rsidP="00420202">
            <w:p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:rsidR="00B57E16" w:rsidRPr="00812103" w:rsidRDefault="004830B3" w:rsidP="00865982">
            <w:pPr>
              <w:spacing w:before="40"/>
              <w:jc w:val="center"/>
            </w:pPr>
            <w:r>
              <w:rPr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r w:rsidR="009F0ADB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553" w:type="dxa"/>
          </w:tcPr>
          <w:p w:rsidR="00B57E16" w:rsidRPr="00812103" w:rsidRDefault="004830B3" w:rsidP="00865982">
            <w:pPr>
              <w:spacing w:before="40"/>
              <w:jc w:val="center"/>
            </w:pPr>
            <w:r w:rsidRPr="0081210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E16" w:rsidRPr="00812103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2103">
              <w:rPr>
                <w:sz w:val="20"/>
              </w:rPr>
              <w:fldChar w:fldCharType="end"/>
            </w:r>
          </w:p>
        </w:tc>
      </w:tr>
      <w:tr w:rsidR="00B57E16" w:rsidRPr="00812103" w:rsidTr="00625816">
        <w:tc>
          <w:tcPr>
            <w:tcW w:w="762" w:type="dxa"/>
            <w:shd w:val="clear" w:color="auto" w:fill="E6E6E6"/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812103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867" w:type="dxa"/>
            <w:shd w:val="clear" w:color="auto" w:fill="E6E6E6"/>
          </w:tcPr>
          <w:p w:rsidR="00B57E16" w:rsidRPr="00717F2C" w:rsidRDefault="00B57E16" w:rsidP="0051407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5802A2">
              <w:rPr>
                <w:rFonts w:ascii="Arial" w:hAnsi="Arial" w:cs="Arial"/>
                <w:sz w:val="20"/>
                <w:szCs w:val="20"/>
              </w:rPr>
              <w:t>N-Nitrosamine</w:t>
            </w:r>
          </w:p>
        </w:tc>
        <w:tc>
          <w:tcPr>
            <w:tcW w:w="1424" w:type="dxa"/>
            <w:shd w:val="clear" w:color="auto" w:fill="E6E6E6"/>
          </w:tcPr>
          <w:p w:rsidR="00B57E16" w:rsidRPr="00812103" w:rsidRDefault="00B57E16" w:rsidP="00A61756">
            <w:pPr>
              <w:jc w:val="center"/>
            </w:pPr>
          </w:p>
        </w:tc>
        <w:tc>
          <w:tcPr>
            <w:tcW w:w="1553" w:type="dxa"/>
            <w:shd w:val="clear" w:color="auto" w:fill="E6E6E6"/>
          </w:tcPr>
          <w:p w:rsidR="00B57E16" w:rsidRPr="00812103" w:rsidRDefault="00B57E16" w:rsidP="00A61756">
            <w:pPr>
              <w:jc w:val="center"/>
            </w:pPr>
          </w:p>
        </w:tc>
      </w:tr>
      <w:tr w:rsidR="00B57E16" w:rsidRPr="00812103" w:rsidTr="00625816">
        <w:tc>
          <w:tcPr>
            <w:tcW w:w="762" w:type="dxa"/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B57E16" w:rsidRPr="00812103" w:rsidRDefault="00B57E16" w:rsidP="003612D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F531E6">
              <w:rPr>
                <w:rFonts w:ascii="Arial" w:hAnsi="Arial" w:cs="Arial"/>
                <w:sz w:val="20"/>
                <w:szCs w:val="20"/>
                <w:lang w:eastAsia="de-DE"/>
              </w:rPr>
              <w:t>Kanzerogene N-Nitrosamine gemäß der jeweils gültigen Fassung TRGS 552 N-Nitrosamine</w:t>
            </w:r>
            <w:r w:rsidR="00775FBD">
              <w:rPr>
                <w:rStyle w:val="Funotenzeichen"/>
                <w:rFonts w:ascii="Arial" w:hAnsi="Arial"/>
                <w:sz w:val="20"/>
                <w:szCs w:val="20"/>
                <w:lang w:eastAsia="de-DE"/>
              </w:rPr>
              <w:footnoteReference w:id="2"/>
            </w:r>
            <w:r w:rsidRPr="00F531E6">
              <w:rPr>
                <w:rFonts w:ascii="Arial" w:hAnsi="Arial" w:cs="Arial"/>
                <w:sz w:val="20"/>
                <w:szCs w:val="20"/>
                <w:lang w:eastAsia="de-DE"/>
              </w:rPr>
              <w:t xml:space="preserve"> dürfen in Bodenbelägen auf Kautschukbasis nicht nachweisbar sein (Nachweisgrenze 3,6 μg/kg, Bestimmungsgrenze 11 μ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g/kg</w:t>
            </w:r>
            <w:r w:rsidRPr="00F531E6">
              <w:rPr>
                <w:rFonts w:ascii="Arial" w:hAnsi="Arial" w:cs="Arial"/>
                <w:sz w:val="20"/>
                <w:szCs w:val="20"/>
                <w:lang w:eastAsia="de-DE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.</w:t>
            </w:r>
          </w:p>
        </w:tc>
        <w:bookmarkStart w:id="1" w:name="Kontrollkästchen2"/>
        <w:tc>
          <w:tcPr>
            <w:tcW w:w="1424" w:type="dxa"/>
          </w:tcPr>
          <w:p w:rsidR="00B57E16" w:rsidRPr="00812103" w:rsidRDefault="004830B3" w:rsidP="00865982">
            <w:pPr>
              <w:spacing w:before="40"/>
              <w:jc w:val="center"/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F0ADB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553" w:type="dxa"/>
          </w:tcPr>
          <w:p w:rsidR="00B57E16" w:rsidRPr="00812103" w:rsidRDefault="004830B3" w:rsidP="00865982">
            <w:pPr>
              <w:spacing w:before="40"/>
              <w:jc w:val="center"/>
            </w:pPr>
            <w:r w:rsidRPr="0081210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E16" w:rsidRPr="00812103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2103">
              <w:rPr>
                <w:sz w:val="20"/>
              </w:rPr>
              <w:fldChar w:fldCharType="end"/>
            </w:r>
          </w:p>
        </w:tc>
      </w:tr>
      <w:tr w:rsidR="00B57E16" w:rsidRPr="00812103" w:rsidTr="00625816">
        <w:tc>
          <w:tcPr>
            <w:tcW w:w="762" w:type="dxa"/>
            <w:shd w:val="clear" w:color="auto" w:fill="E0E0E0"/>
          </w:tcPr>
          <w:p w:rsidR="00B57E16" w:rsidRDefault="00B57E16" w:rsidP="004F66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867" w:type="dxa"/>
            <w:shd w:val="clear" w:color="auto" w:fill="E6E6E6"/>
          </w:tcPr>
          <w:p w:rsidR="00B57E16" w:rsidRDefault="00865982" w:rsidP="004F66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</w:t>
            </w:r>
            <w:r w:rsidR="00B57E16">
              <w:rPr>
                <w:rFonts w:ascii="Arial" w:hAnsi="Arial" w:cs="Arial"/>
                <w:sz w:val="20"/>
                <w:szCs w:val="20"/>
              </w:rPr>
              <w:t>yklatmaterialien</w:t>
            </w:r>
          </w:p>
        </w:tc>
        <w:tc>
          <w:tcPr>
            <w:tcW w:w="1424" w:type="dxa"/>
            <w:shd w:val="clear" w:color="auto" w:fill="E6E6E6"/>
          </w:tcPr>
          <w:p w:rsidR="00B57E16" w:rsidRPr="00812103" w:rsidRDefault="00B57E16" w:rsidP="004F669E">
            <w:pPr>
              <w:jc w:val="center"/>
            </w:pPr>
          </w:p>
        </w:tc>
        <w:tc>
          <w:tcPr>
            <w:tcW w:w="1553" w:type="dxa"/>
            <w:shd w:val="clear" w:color="auto" w:fill="E6E6E6"/>
          </w:tcPr>
          <w:p w:rsidR="00B57E16" w:rsidRPr="00812103" w:rsidRDefault="00B57E16" w:rsidP="004F669E">
            <w:pPr>
              <w:jc w:val="center"/>
            </w:pPr>
          </w:p>
        </w:tc>
      </w:tr>
      <w:tr w:rsidR="00B57E16" w:rsidRPr="00812103" w:rsidTr="00625816">
        <w:tc>
          <w:tcPr>
            <w:tcW w:w="762" w:type="dxa"/>
          </w:tcPr>
          <w:p w:rsidR="00B57E16" w:rsidRDefault="00B57E16" w:rsidP="004F66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B57E16" w:rsidRPr="00F531E6" w:rsidRDefault="00B57E16" w:rsidP="003612D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F531E6">
              <w:rPr>
                <w:rFonts w:ascii="Arial" w:hAnsi="Arial" w:cs="Arial"/>
                <w:sz w:val="20"/>
                <w:szCs w:val="20"/>
                <w:lang w:eastAsia="de-DE"/>
              </w:rPr>
              <w:t xml:space="preserve">Der Einsatz von Rezyklatmaterialien für die Herstellung von Bodenbelägen ist ausgeschlossen. </w:t>
            </w:r>
          </w:p>
          <w:p w:rsidR="00B57E16" w:rsidRPr="00F531E6" w:rsidRDefault="00B57E16" w:rsidP="003612D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F531E6">
              <w:rPr>
                <w:rFonts w:ascii="Arial" w:hAnsi="Arial" w:cs="Arial"/>
                <w:sz w:val="20"/>
                <w:szCs w:val="20"/>
                <w:lang w:eastAsia="de-DE"/>
              </w:rPr>
              <w:t>Ausgenommen hiervon sind:</w:t>
            </w:r>
          </w:p>
          <w:p w:rsidR="00B57E16" w:rsidRPr="00A32AEA" w:rsidRDefault="00B57E16" w:rsidP="003612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A32AEA">
              <w:rPr>
                <w:rFonts w:ascii="Arial" w:hAnsi="Arial" w:cs="Arial"/>
                <w:sz w:val="20"/>
                <w:szCs w:val="20"/>
                <w:lang w:eastAsia="de-DE"/>
              </w:rPr>
              <w:t>Altholz der Kategorie A I nach Altholzverordnung</w:t>
            </w:r>
            <w:r w:rsidR="00A32AEA">
              <w:rPr>
                <w:rStyle w:val="Funotenzeichen"/>
                <w:rFonts w:ascii="Arial" w:hAnsi="Arial"/>
                <w:sz w:val="20"/>
                <w:szCs w:val="20"/>
                <w:lang w:eastAsia="de-DE"/>
              </w:rPr>
              <w:footnoteReference w:id="3"/>
            </w:r>
            <w:r w:rsidRPr="00A32AEA">
              <w:rPr>
                <w:rFonts w:ascii="Arial" w:hAnsi="Arial" w:cs="Arial"/>
                <w:sz w:val="20"/>
                <w:szCs w:val="20"/>
                <w:lang w:eastAsia="de-DE"/>
              </w:rPr>
              <w:t>.</w:t>
            </w:r>
          </w:p>
          <w:p w:rsidR="00625816" w:rsidRDefault="00B57E16" w:rsidP="006258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420202">
              <w:rPr>
                <w:rFonts w:ascii="Arial" w:hAnsi="Arial" w:cs="Arial"/>
                <w:sz w:val="20"/>
                <w:szCs w:val="20"/>
                <w:lang w:eastAsia="de-DE"/>
              </w:rPr>
              <w:t>Altpapier der Sorten 1.02 und 1.04 nach DIN EN 643</w:t>
            </w:r>
            <w:r w:rsidR="00420202" w:rsidRPr="00420202">
              <w:rPr>
                <w:rFonts w:ascii="Arial" w:hAnsi="Arial" w:cs="Arial"/>
                <w:sz w:val="20"/>
                <w:szCs w:val="20"/>
                <w:lang w:eastAsia="de-DE"/>
              </w:rPr>
              <w:t xml:space="preserve">: 2012-08, </w:t>
            </w:r>
            <w:r w:rsidRPr="00420202">
              <w:rPr>
                <w:rFonts w:ascii="Arial" w:hAnsi="Arial" w:cs="Arial"/>
                <w:sz w:val="20"/>
                <w:szCs w:val="20"/>
                <w:lang w:eastAsia="de-DE"/>
              </w:rPr>
              <w:t>Papier und Pappe – Europäische Liste der Standardsorten</w:t>
            </w:r>
            <w:r w:rsidRPr="00775FBD">
              <w:rPr>
                <w:rFonts w:ascii="Arial" w:hAnsi="Arial" w:cs="Arial"/>
                <w:sz w:val="20"/>
                <w:szCs w:val="20"/>
                <w:lang w:eastAsia="de-DE"/>
              </w:rPr>
              <w:t>.</w:t>
            </w:r>
            <w:r w:rsidR="00775FBD">
              <w:rPr>
                <w:rStyle w:val="Funotenzeichen"/>
                <w:rFonts w:ascii="Arial" w:hAnsi="Arial"/>
                <w:sz w:val="20"/>
                <w:szCs w:val="20"/>
                <w:lang w:eastAsia="de-DE"/>
              </w:rPr>
              <w:footnoteReference w:id="4"/>
            </w:r>
          </w:p>
          <w:p w:rsidR="00B57E16" w:rsidRPr="00625816" w:rsidRDefault="00B57E16" w:rsidP="006258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25816">
              <w:rPr>
                <w:rFonts w:ascii="Arial" w:hAnsi="Arial" w:cs="Arial"/>
                <w:sz w:val="20"/>
                <w:szCs w:val="20"/>
                <w:lang w:eastAsia="de-DE"/>
              </w:rPr>
              <w:t>Produktionsabfälle aus der Fertigung des Bodenbelages.</w:t>
            </w:r>
          </w:p>
        </w:tc>
        <w:tc>
          <w:tcPr>
            <w:tcW w:w="1424" w:type="dxa"/>
          </w:tcPr>
          <w:p w:rsidR="00B57E16" w:rsidRPr="00812103" w:rsidRDefault="004830B3" w:rsidP="00865982">
            <w:pPr>
              <w:spacing w:before="40"/>
              <w:jc w:val="center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F0ADB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553" w:type="dxa"/>
          </w:tcPr>
          <w:p w:rsidR="00B57E16" w:rsidRPr="00812103" w:rsidRDefault="004830B3" w:rsidP="00865982">
            <w:pPr>
              <w:spacing w:before="40"/>
              <w:jc w:val="center"/>
            </w:pPr>
            <w:r w:rsidRPr="0081210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E16" w:rsidRPr="00812103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2103">
              <w:rPr>
                <w:sz w:val="20"/>
              </w:rPr>
              <w:fldChar w:fldCharType="end"/>
            </w:r>
          </w:p>
        </w:tc>
      </w:tr>
      <w:tr w:rsidR="00B57E16" w:rsidRPr="00812103" w:rsidTr="00625816">
        <w:tc>
          <w:tcPr>
            <w:tcW w:w="762" w:type="dxa"/>
            <w:shd w:val="clear" w:color="auto" w:fill="E0E0E0"/>
          </w:tcPr>
          <w:p w:rsidR="00B57E16" w:rsidRDefault="00B57E16" w:rsidP="00746D6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867" w:type="dxa"/>
            <w:shd w:val="clear" w:color="auto" w:fill="E6E6E6"/>
          </w:tcPr>
          <w:p w:rsidR="00B57E16" w:rsidRDefault="00B57E16" w:rsidP="00746D6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Weichmacher</w:t>
            </w:r>
          </w:p>
        </w:tc>
        <w:tc>
          <w:tcPr>
            <w:tcW w:w="1424" w:type="dxa"/>
            <w:shd w:val="clear" w:color="auto" w:fill="E6E6E6"/>
          </w:tcPr>
          <w:p w:rsidR="00B57E16" w:rsidRPr="00812103" w:rsidRDefault="00B57E16" w:rsidP="00746D66">
            <w:pPr>
              <w:jc w:val="center"/>
            </w:pPr>
          </w:p>
        </w:tc>
        <w:tc>
          <w:tcPr>
            <w:tcW w:w="1553" w:type="dxa"/>
            <w:shd w:val="clear" w:color="auto" w:fill="E6E6E6"/>
          </w:tcPr>
          <w:p w:rsidR="00B57E16" w:rsidRPr="00812103" w:rsidRDefault="00B57E16" w:rsidP="00746D66">
            <w:pPr>
              <w:jc w:val="center"/>
            </w:pPr>
          </w:p>
        </w:tc>
      </w:tr>
      <w:tr w:rsidR="00FE42B5" w:rsidRPr="00865982" w:rsidTr="00625816">
        <w:tc>
          <w:tcPr>
            <w:tcW w:w="762" w:type="dxa"/>
          </w:tcPr>
          <w:p w:rsidR="00FE42B5" w:rsidRDefault="00FE42B5" w:rsidP="00746D6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FE42B5" w:rsidRDefault="00FE42B5" w:rsidP="003612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0609D">
              <w:rPr>
                <w:rFonts w:ascii="Arial" w:hAnsi="Arial" w:cs="Arial"/>
                <w:sz w:val="20"/>
                <w:szCs w:val="20"/>
                <w:lang w:eastAsia="de-DE"/>
              </w:rPr>
              <w:t xml:space="preserve">Bei der Herstellung der Bodenbeläge dürfen keine weichmachenden Substanzen aus der Klasse der </w:t>
            </w:r>
            <w:proofErr w:type="spellStart"/>
            <w:r w:rsidRPr="00E0609D">
              <w:rPr>
                <w:rFonts w:ascii="Arial" w:hAnsi="Arial" w:cs="Arial"/>
                <w:sz w:val="20"/>
                <w:szCs w:val="20"/>
                <w:lang w:eastAsia="de-DE"/>
              </w:rPr>
              <w:t>Phthalate</w:t>
            </w:r>
            <w:proofErr w:type="spellEnd"/>
            <w:r w:rsidRPr="00E0609D">
              <w:rPr>
                <w:rFonts w:ascii="Arial" w:hAnsi="Arial" w:cs="Arial"/>
                <w:sz w:val="20"/>
                <w:szCs w:val="20"/>
                <w:lang w:eastAsia="de-DE"/>
              </w:rPr>
              <w:t xml:space="preserve"> eingesetzt werden.</w:t>
            </w:r>
          </w:p>
          <w:p w:rsidR="001F4080" w:rsidRPr="00E0609D" w:rsidRDefault="00F55D7B" w:rsidP="001F40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420202">
              <w:rPr>
                <w:rFonts w:ascii="Arial" w:hAnsi="Arial" w:cs="Arial"/>
                <w:sz w:val="20"/>
                <w:szCs w:val="20"/>
                <w:lang w:eastAsia="de-DE"/>
              </w:rPr>
              <w:lastRenderedPageBreak/>
              <w:t xml:space="preserve">Im Falle eines Nachweises ist der Gehalt an </w:t>
            </w:r>
            <w:proofErr w:type="spellStart"/>
            <w:r w:rsidRPr="00420202">
              <w:rPr>
                <w:rFonts w:ascii="Arial" w:hAnsi="Arial" w:cs="Arial"/>
                <w:sz w:val="20"/>
                <w:szCs w:val="20"/>
                <w:lang w:eastAsia="de-DE"/>
              </w:rPr>
              <w:t>Phthalaten</w:t>
            </w:r>
            <w:proofErr w:type="spellEnd"/>
            <w:r w:rsidRPr="00420202">
              <w:rPr>
                <w:rFonts w:ascii="Arial" w:hAnsi="Arial" w:cs="Arial"/>
                <w:sz w:val="20"/>
                <w:szCs w:val="20"/>
                <w:lang w:eastAsia="de-DE"/>
              </w:rPr>
              <w:t xml:space="preserve"> durch Extraktion einer Materialprobe und Analyse mit GC/MS zu bestimmen. Die quantitative Bestimmung der Zielsubstanzen erfolgt mit internem Standard und Vergleichsgemisch. Als Verunreinigungen dürfen nicht mehr als 0,1 Masse-% </w:t>
            </w:r>
            <w:proofErr w:type="spellStart"/>
            <w:r w:rsidRPr="00420202">
              <w:rPr>
                <w:rFonts w:ascii="Arial" w:hAnsi="Arial" w:cs="Arial"/>
                <w:sz w:val="20"/>
                <w:szCs w:val="20"/>
                <w:lang w:eastAsia="de-DE"/>
              </w:rPr>
              <w:t>Phthalate</w:t>
            </w:r>
            <w:proofErr w:type="spellEnd"/>
            <w:r w:rsidRPr="00420202">
              <w:rPr>
                <w:rFonts w:ascii="Arial" w:hAnsi="Arial" w:cs="Arial"/>
                <w:sz w:val="20"/>
                <w:szCs w:val="20"/>
                <w:lang w:eastAsia="de-DE"/>
              </w:rPr>
              <w:t xml:space="preserve"> im Bodenbelag enthalten sein.</w:t>
            </w:r>
          </w:p>
        </w:tc>
        <w:tc>
          <w:tcPr>
            <w:tcW w:w="1424" w:type="dxa"/>
          </w:tcPr>
          <w:p w:rsidR="00FE42B5" w:rsidRPr="00865982" w:rsidRDefault="004830B3" w:rsidP="00865982">
            <w:pPr>
              <w:spacing w:before="40"/>
              <w:jc w:val="center"/>
            </w:pPr>
            <w:r w:rsidRPr="00865982">
              <w:rPr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E42B5" w:rsidRPr="00865982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65982">
              <w:rPr>
                <w:sz w:val="20"/>
              </w:rPr>
              <w:fldChar w:fldCharType="end"/>
            </w:r>
          </w:p>
        </w:tc>
        <w:tc>
          <w:tcPr>
            <w:tcW w:w="1553" w:type="dxa"/>
          </w:tcPr>
          <w:p w:rsidR="00FE42B5" w:rsidRPr="00865982" w:rsidRDefault="004830B3" w:rsidP="00865982">
            <w:pPr>
              <w:spacing w:before="40"/>
              <w:jc w:val="center"/>
            </w:pPr>
            <w:r w:rsidRPr="00865982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2B5" w:rsidRPr="00865982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65982">
              <w:rPr>
                <w:sz w:val="20"/>
              </w:rPr>
              <w:fldChar w:fldCharType="end"/>
            </w:r>
          </w:p>
        </w:tc>
      </w:tr>
      <w:tr w:rsidR="00B57E16" w:rsidRPr="009F0ADB" w:rsidTr="006651B3">
        <w:trPr>
          <w:trHeight w:val="67"/>
        </w:trPr>
        <w:tc>
          <w:tcPr>
            <w:tcW w:w="6629" w:type="dxa"/>
            <w:gridSpan w:val="2"/>
          </w:tcPr>
          <w:p w:rsidR="00B57E16" w:rsidRPr="009F0ADB" w:rsidRDefault="00B57E16" w:rsidP="00865982">
            <w:pPr>
              <w:spacing w:line="240" w:lineRule="auto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1424" w:type="dxa"/>
          </w:tcPr>
          <w:p w:rsidR="00B57E16" w:rsidRPr="009F0ADB" w:rsidRDefault="00B57E16" w:rsidP="00865982">
            <w:pPr>
              <w:spacing w:line="240" w:lineRule="auto"/>
              <w:jc w:val="center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1553" w:type="dxa"/>
          </w:tcPr>
          <w:p w:rsidR="00B57E16" w:rsidRPr="009F0ADB" w:rsidRDefault="00B57E16" w:rsidP="00865982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B57E16" w:rsidRPr="00812103" w:rsidTr="00625816">
        <w:tc>
          <w:tcPr>
            <w:tcW w:w="762" w:type="dxa"/>
            <w:shd w:val="clear" w:color="auto" w:fill="C0C0C0"/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67" w:type="dxa"/>
            <w:shd w:val="clear" w:color="auto" w:fill="C0C0C0"/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Nutzung</w:t>
            </w:r>
          </w:p>
        </w:tc>
        <w:tc>
          <w:tcPr>
            <w:tcW w:w="1424" w:type="dxa"/>
            <w:shd w:val="clear" w:color="auto" w:fill="C0C0C0"/>
          </w:tcPr>
          <w:p w:rsidR="00B57E16" w:rsidRPr="00812103" w:rsidRDefault="00B57E16" w:rsidP="00A61756">
            <w:pPr>
              <w:jc w:val="center"/>
            </w:pPr>
          </w:p>
        </w:tc>
        <w:tc>
          <w:tcPr>
            <w:tcW w:w="1553" w:type="dxa"/>
            <w:shd w:val="clear" w:color="auto" w:fill="C0C0C0"/>
          </w:tcPr>
          <w:p w:rsidR="00B57E16" w:rsidRPr="00812103" w:rsidRDefault="00B57E16" w:rsidP="00A61756">
            <w:pPr>
              <w:jc w:val="center"/>
            </w:pPr>
          </w:p>
        </w:tc>
      </w:tr>
      <w:tr w:rsidR="00B57E16" w:rsidRPr="00812103" w:rsidTr="00625816">
        <w:trPr>
          <w:trHeight w:val="390"/>
        </w:trPr>
        <w:tc>
          <w:tcPr>
            <w:tcW w:w="762" w:type="dxa"/>
            <w:shd w:val="clear" w:color="auto" w:fill="E6E6E6"/>
          </w:tcPr>
          <w:p w:rsidR="00B57E16" w:rsidRPr="00812103" w:rsidRDefault="00B57E16" w:rsidP="00625816">
            <w:p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12103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867" w:type="dxa"/>
            <w:shd w:val="clear" w:color="auto" w:fill="E6E6E6"/>
          </w:tcPr>
          <w:p w:rsidR="00B57E16" w:rsidRDefault="00B57E16" w:rsidP="00625816">
            <w:pPr>
              <w:pStyle w:val="Funotentext"/>
              <w:spacing w:before="4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Innenraumluftqualität</w:t>
            </w:r>
          </w:p>
        </w:tc>
        <w:tc>
          <w:tcPr>
            <w:tcW w:w="1424" w:type="dxa"/>
            <w:shd w:val="clear" w:color="auto" w:fill="E6E6E6"/>
          </w:tcPr>
          <w:p w:rsidR="00B57E16" w:rsidRPr="00812103" w:rsidRDefault="00B57E16" w:rsidP="00625816">
            <w:pPr>
              <w:spacing w:before="40" w:after="120"/>
              <w:jc w:val="center"/>
            </w:pPr>
          </w:p>
        </w:tc>
        <w:tc>
          <w:tcPr>
            <w:tcW w:w="1553" w:type="dxa"/>
            <w:shd w:val="clear" w:color="auto" w:fill="E6E6E6"/>
          </w:tcPr>
          <w:p w:rsidR="00B57E16" w:rsidRPr="00812103" w:rsidRDefault="00B57E16" w:rsidP="00625816">
            <w:pPr>
              <w:spacing w:before="40" w:after="120"/>
              <w:jc w:val="center"/>
            </w:pPr>
          </w:p>
        </w:tc>
      </w:tr>
      <w:tr w:rsidR="00B57E16" w:rsidRPr="00812103" w:rsidTr="00625816">
        <w:tc>
          <w:tcPr>
            <w:tcW w:w="762" w:type="dxa"/>
          </w:tcPr>
          <w:p w:rsidR="00B57E16" w:rsidRPr="00812103" w:rsidRDefault="00B57E16" w:rsidP="005140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B57E16" w:rsidRDefault="00B57E16" w:rsidP="0062581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9810A6">
              <w:rPr>
                <w:rFonts w:ascii="Arial" w:hAnsi="Arial" w:cs="Arial"/>
                <w:sz w:val="20"/>
                <w:szCs w:val="20"/>
                <w:lang w:eastAsia="de-DE"/>
              </w:rPr>
              <w:t xml:space="preserve">Die Produkte dürfen </w:t>
            </w:r>
            <w:r w:rsidR="009F0ADB">
              <w:rPr>
                <w:rFonts w:ascii="Arial" w:hAnsi="Arial" w:cs="Arial"/>
                <w:sz w:val="20"/>
                <w:szCs w:val="20"/>
                <w:lang w:eastAsia="de-DE"/>
              </w:rPr>
              <w:t xml:space="preserve">- </w:t>
            </w:r>
            <w:r w:rsidRPr="009810A6">
              <w:rPr>
                <w:rFonts w:ascii="Arial" w:hAnsi="Arial" w:cs="Arial"/>
                <w:sz w:val="20"/>
                <w:szCs w:val="20"/>
                <w:lang w:eastAsia="de-DE"/>
              </w:rPr>
              <w:t xml:space="preserve">in Anlehnung an </w:t>
            </w:r>
            <w:r w:rsidRPr="009F0ADB">
              <w:rPr>
                <w:rFonts w:ascii="Arial" w:hAnsi="Arial" w:cs="Arial"/>
                <w:sz w:val="20"/>
                <w:szCs w:val="20"/>
                <w:lang w:eastAsia="de-DE"/>
              </w:rPr>
              <w:t xml:space="preserve">die jeweils </w:t>
            </w:r>
            <w:r w:rsidR="00775FBD" w:rsidRPr="009F0ADB">
              <w:rPr>
                <w:rFonts w:ascii="Arial" w:hAnsi="Arial" w:cs="Arial"/>
                <w:sz w:val="20"/>
                <w:szCs w:val="20"/>
                <w:lang w:eastAsia="de-DE"/>
              </w:rPr>
              <w:t>gül</w:t>
            </w:r>
            <w:r w:rsidRPr="009F0ADB">
              <w:rPr>
                <w:rFonts w:ascii="Arial" w:hAnsi="Arial" w:cs="Arial"/>
                <w:sz w:val="20"/>
                <w:szCs w:val="20"/>
                <w:lang w:eastAsia="de-DE"/>
              </w:rPr>
              <w:t>t</w:t>
            </w:r>
            <w:r w:rsidR="00775FBD" w:rsidRPr="009F0ADB">
              <w:rPr>
                <w:rFonts w:ascii="Arial" w:hAnsi="Arial" w:cs="Arial"/>
                <w:sz w:val="20"/>
                <w:szCs w:val="20"/>
                <w:lang w:eastAsia="de-DE"/>
              </w:rPr>
              <w:t>i</w:t>
            </w:r>
            <w:r w:rsidRPr="009F0ADB">
              <w:rPr>
                <w:rFonts w:ascii="Arial" w:hAnsi="Arial" w:cs="Arial"/>
                <w:sz w:val="20"/>
                <w:szCs w:val="20"/>
                <w:lang w:eastAsia="de-DE"/>
              </w:rPr>
              <w:t>ge</w:t>
            </w:r>
            <w:r w:rsidR="00775FBD">
              <w:rPr>
                <w:rFonts w:ascii="Arial" w:hAnsi="Arial" w:cs="Arial"/>
                <w:sz w:val="20"/>
                <w:szCs w:val="20"/>
                <w:lang w:eastAsia="de-DE"/>
              </w:rPr>
              <w:t xml:space="preserve"> Fassung der </w:t>
            </w:r>
            <w:r w:rsidRPr="009810A6">
              <w:rPr>
                <w:rFonts w:ascii="Arial" w:hAnsi="Arial" w:cs="Arial"/>
                <w:sz w:val="20"/>
                <w:szCs w:val="20"/>
                <w:lang w:eastAsia="de-DE"/>
              </w:rPr>
              <w:t>vom Ausschuss zur gesundheitlichen Bewertung von Bauprodukten (AgBB) erarbeitete</w:t>
            </w:r>
            <w:r w:rsidR="00775FBD">
              <w:rPr>
                <w:rFonts w:ascii="Arial" w:hAnsi="Arial" w:cs="Arial"/>
                <w:sz w:val="20"/>
                <w:szCs w:val="20"/>
                <w:lang w:eastAsia="de-DE"/>
              </w:rPr>
              <w:t>n</w:t>
            </w:r>
            <w:r w:rsidRPr="009810A6">
              <w:rPr>
                <w:rFonts w:ascii="Arial" w:hAnsi="Arial" w:cs="Arial"/>
                <w:sz w:val="20"/>
                <w:szCs w:val="20"/>
                <w:lang w:eastAsia="de-DE"/>
              </w:rPr>
              <w:t xml:space="preserve"> „Vorgehensweise bei der gesundheitlichen Bewertung der Emissionen von flüchtigen organischen Verbindungen (VOC und SVOC) aus Bauprodukten“</w:t>
            </w:r>
            <w:r w:rsidR="009324AE">
              <w:rPr>
                <w:rStyle w:val="Funotenzeichen"/>
                <w:rFonts w:ascii="Arial" w:hAnsi="Arial"/>
                <w:sz w:val="20"/>
                <w:szCs w:val="20"/>
                <w:lang w:eastAsia="de-DE"/>
              </w:rPr>
              <w:footnoteReference w:id="5"/>
            </w:r>
            <w:r w:rsidRPr="009810A6"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  <w:r w:rsidR="009F0ADB">
              <w:rPr>
                <w:rFonts w:ascii="Arial" w:hAnsi="Arial" w:cs="Arial"/>
                <w:sz w:val="20"/>
                <w:szCs w:val="20"/>
                <w:lang w:eastAsia="de-DE"/>
              </w:rPr>
              <w:t xml:space="preserve">- </w:t>
            </w:r>
            <w:r w:rsidRPr="009810A6">
              <w:rPr>
                <w:rFonts w:ascii="Arial" w:hAnsi="Arial" w:cs="Arial"/>
                <w:sz w:val="20"/>
                <w:szCs w:val="20"/>
                <w:lang w:eastAsia="de-DE"/>
              </w:rPr>
              <w:t xml:space="preserve">die </w:t>
            </w:r>
            <w:r w:rsidR="00775FBD">
              <w:rPr>
                <w:rFonts w:ascii="Arial" w:hAnsi="Arial" w:cs="Arial"/>
                <w:sz w:val="20"/>
                <w:szCs w:val="20"/>
                <w:lang w:eastAsia="de-DE"/>
              </w:rPr>
              <w:t>nachstehend</w:t>
            </w:r>
            <w:r w:rsidRPr="009810A6">
              <w:rPr>
                <w:rFonts w:ascii="Arial" w:hAnsi="Arial" w:cs="Arial"/>
                <w:sz w:val="20"/>
                <w:szCs w:val="20"/>
                <w:highlight w:val="yellow"/>
                <w:lang w:eastAsia="de-DE"/>
              </w:rPr>
              <w:t xml:space="preserve"> </w:t>
            </w:r>
            <w:r w:rsidRPr="009810A6">
              <w:rPr>
                <w:rFonts w:ascii="Arial" w:hAnsi="Arial" w:cs="Arial"/>
                <w:sz w:val="20"/>
                <w:szCs w:val="20"/>
                <w:lang w:eastAsia="de-DE"/>
              </w:rPr>
              <w:t xml:space="preserve">genannten Emissionswerte in der Prüfkammer nicht überschreiten. </w:t>
            </w:r>
          </w:p>
          <w:tbl>
            <w:tblPr>
              <w:tblStyle w:val="Tabellengitternetz"/>
              <w:tblW w:w="6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2841"/>
              <w:gridCol w:w="1746"/>
              <w:gridCol w:w="1533"/>
            </w:tblGrid>
            <w:tr w:rsidR="00B57E16" w:rsidRPr="008D7429" w:rsidTr="00625816">
              <w:trPr>
                <w:trHeight w:val="563"/>
              </w:trPr>
              <w:tc>
                <w:tcPr>
                  <w:tcW w:w="2841" w:type="dxa"/>
                  <w:shd w:val="clear" w:color="auto" w:fill="auto"/>
                  <w:vAlign w:val="bottom"/>
                </w:tcPr>
                <w:p w:rsidR="00B57E16" w:rsidRPr="00625816" w:rsidRDefault="00B57E16" w:rsidP="00625816">
                  <w:pPr>
                    <w:autoSpaceDE w:val="0"/>
                    <w:autoSpaceDN w:val="0"/>
                    <w:adjustRightInd w:val="0"/>
                    <w:spacing w:after="20" w:line="240" w:lineRule="auto"/>
                    <w:ind w:left="79"/>
                    <w:rPr>
                      <w:rFonts w:ascii="Arial" w:hAnsi="Arial" w:cs="Arial"/>
                      <w:b/>
                      <w:sz w:val="18"/>
                      <w:lang w:eastAsia="de-DE"/>
                    </w:rPr>
                  </w:pPr>
                  <w:r w:rsidRPr="00625816">
                    <w:rPr>
                      <w:rFonts w:ascii="Arial" w:hAnsi="Arial" w:cs="Arial"/>
                      <w:b/>
                      <w:sz w:val="18"/>
                      <w:lang w:eastAsia="de-DE"/>
                    </w:rPr>
                    <w:t>Verbindung oder Substanz</w:t>
                  </w:r>
                </w:p>
                <w:p w:rsidR="00B11F6F" w:rsidRPr="00625816" w:rsidRDefault="00B11F6F" w:rsidP="00B11F6F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left="79"/>
                    <w:rPr>
                      <w:rFonts w:ascii="Arial" w:hAnsi="Arial" w:cs="Arial"/>
                      <w:b/>
                      <w:sz w:val="18"/>
                      <w:lang w:eastAsia="de-D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  <w:vAlign w:val="bottom"/>
                </w:tcPr>
                <w:p w:rsidR="00B57E16" w:rsidRPr="00625816" w:rsidRDefault="00B57E16" w:rsidP="008D7429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rPr>
                      <w:rFonts w:ascii="Arial" w:hAnsi="Arial" w:cs="Arial"/>
                      <w:b/>
                      <w:sz w:val="18"/>
                      <w:lang w:eastAsia="de-DE"/>
                    </w:rPr>
                  </w:pPr>
                  <w:r w:rsidRPr="00625816">
                    <w:rPr>
                      <w:rFonts w:ascii="Arial" w:hAnsi="Arial" w:cs="Arial"/>
                      <w:b/>
                      <w:sz w:val="18"/>
                      <w:lang w:eastAsia="de-DE"/>
                    </w:rPr>
                    <w:t>3. Tag</w:t>
                  </w:r>
                </w:p>
                <w:p w:rsidR="00B11F6F" w:rsidRPr="00625816" w:rsidRDefault="00B11F6F" w:rsidP="008D7429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rPr>
                      <w:rFonts w:ascii="Arial" w:hAnsi="Arial" w:cs="Arial"/>
                      <w:b/>
                      <w:sz w:val="18"/>
                      <w:lang w:eastAsia="de-DE"/>
                    </w:rPr>
                  </w:pPr>
                </w:p>
              </w:tc>
              <w:tc>
                <w:tcPr>
                  <w:tcW w:w="1533" w:type="dxa"/>
                  <w:shd w:val="clear" w:color="auto" w:fill="auto"/>
                  <w:vAlign w:val="bottom"/>
                </w:tcPr>
                <w:p w:rsidR="00B57E16" w:rsidRPr="00625816" w:rsidRDefault="00B57E16" w:rsidP="00625816">
                  <w:pPr>
                    <w:autoSpaceDE w:val="0"/>
                    <w:autoSpaceDN w:val="0"/>
                    <w:adjustRightInd w:val="0"/>
                    <w:spacing w:after="20" w:line="240" w:lineRule="auto"/>
                    <w:rPr>
                      <w:rFonts w:ascii="Arial" w:hAnsi="Arial" w:cs="Arial"/>
                      <w:b/>
                      <w:sz w:val="18"/>
                      <w:lang w:eastAsia="de-DE"/>
                    </w:rPr>
                  </w:pPr>
                  <w:r w:rsidRPr="00625816">
                    <w:rPr>
                      <w:rFonts w:ascii="Arial" w:hAnsi="Arial" w:cs="Arial"/>
                      <w:b/>
                      <w:sz w:val="18"/>
                      <w:lang w:eastAsia="de-DE"/>
                    </w:rPr>
                    <w:t xml:space="preserve">Endwert </w:t>
                  </w:r>
                </w:p>
                <w:p w:rsidR="00B57E16" w:rsidRPr="00625816" w:rsidRDefault="00B57E16" w:rsidP="008D7429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rPr>
                      <w:rFonts w:ascii="Arial" w:hAnsi="Arial" w:cs="Arial"/>
                      <w:b/>
                      <w:sz w:val="18"/>
                      <w:lang w:eastAsia="de-DE"/>
                    </w:rPr>
                  </w:pPr>
                  <w:r w:rsidRPr="00625816">
                    <w:rPr>
                      <w:rFonts w:ascii="Arial" w:hAnsi="Arial" w:cs="Arial"/>
                      <w:b/>
                      <w:sz w:val="18"/>
                      <w:lang w:eastAsia="de-DE"/>
                    </w:rPr>
                    <w:t>(28. Tag)</w:t>
                  </w:r>
                </w:p>
                <w:p w:rsidR="00B11F6F" w:rsidRPr="00625816" w:rsidRDefault="00B11F6F" w:rsidP="008D7429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rPr>
                      <w:rFonts w:ascii="Arial" w:hAnsi="Arial" w:cs="Arial"/>
                      <w:b/>
                      <w:sz w:val="18"/>
                      <w:lang w:eastAsia="de-DE"/>
                    </w:rPr>
                  </w:pPr>
                </w:p>
              </w:tc>
            </w:tr>
            <w:tr w:rsidR="00B57E16" w:rsidTr="00625816">
              <w:tc>
                <w:tcPr>
                  <w:tcW w:w="2841" w:type="dxa"/>
                  <w:shd w:val="clear" w:color="auto" w:fill="auto"/>
                  <w:vAlign w:val="center"/>
                </w:tcPr>
                <w:p w:rsidR="00B11F6F" w:rsidRDefault="00B57E16" w:rsidP="004961CE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79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Summe der organischen Verbindungen im Retentionsbereich </w:t>
                  </w:r>
                </w:p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after="120" w:line="240" w:lineRule="auto"/>
                    <w:ind w:left="79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C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eastAsia="de-DE"/>
                    </w:rPr>
                    <w:t>6</w:t>
                  </w:r>
                  <w:r w:rsidRPr="00784D00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 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–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 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C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eastAsia="de-DE"/>
                    </w:rPr>
                    <w:t>16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 (TVOC)</w:t>
                  </w: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≤ 1000 μg/m³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≤ 300 μg/m³</w:t>
                  </w:r>
                </w:p>
              </w:tc>
            </w:tr>
            <w:tr w:rsidR="00B57E16" w:rsidTr="00625816">
              <w:tc>
                <w:tcPr>
                  <w:tcW w:w="2841" w:type="dxa"/>
                  <w:shd w:val="clear" w:color="auto" w:fill="auto"/>
                  <w:vAlign w:val="center"/>
                </w:tcPr>
                <w:p w:rsidR="00B57E16" w:rsidRDefault="00B57E16" w:rsidP="004961CE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79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Summe der organischen Verbindungen im Retentionsbereich </w:t>
                  </w:r>
                </w:p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after="120" w:line="240" w:lineRule="auto"/>
                    <w:ind w:left="79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&gt; C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eastAsia="de-DE"/>
                    </w:rPr>
                    <w:t>16</w:t>
                  </w:r>
                  <w:r w:rsidRPr="00784D00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– C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eastAsia="de-DE"/>
                    </w:rPr>
                    <w:t>22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 (TSVOC)</w:t>
                  </w: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-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≤ 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30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 μg/m³</w:t>
                  </w:r>
                </w:p>
              </w:tc>
            </w:tr>
            <w:tr w:rsidR="00B57E16" w:rsidTr="00625816">
              <w:tc>
                <w:tcPr>
                  <w:tcW w:w="2841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80" w:line="240" w:lineRule="auto"/>
                    <w:ind w:left="79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krebserzeugende Stoffe</w:t>
                  </w:r>
                  <w:r w:rsidR="009324AE">
                    <w:rPr>
                      <w:rStyle w:val="Funotenzeichen"/>
                      <w:rFonts w:ascii="Arial" w:hAnsi="Arial"/>
                      <w:sz w:val="18"/>
                      <w:szCs w:val="18"/>
                      <w:lang w:eastAsia="de-DE"/>
                    </w:rPr>
                    <w:footnoteReference w:id="6"/>
                  </w: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B11F6F" w:rsidRDefault="00B57E16" w:rsidP="004961CE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9F0ADB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≤ 10 μg/m³ </w:t>
                  </w:r>
                </w:p>
                <w:p w:rsidR="00B57E16" w:rsidRPr="009F0ADB" w:rsidRDefault="00B57E16" w:rsidP="004961CE">
                  <w:pPr>
                    <w:autoSpaceDE w:val="0"/>
                    <w:autoSpaceDN w:val="0"/>
                    <w:adjustRightInd w:val="0"/>
                    <w:spacing w:after="8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9F0ADB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in Summe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</w:tcPr>
                <w:p w:rsidR="00B11F6F" w:rsidRDefault="00B57E16" w:rsidP="004961CE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9F0ADB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≤ 1 μg/m³ </w:t>
                  </w:r>
                </w:p>
                <w:p w:rsidR="00B57E16" w:rsidRPr="009F0ADB" w:rsidRDefault="00B57E16" w:rsidP="004961CE">
                  <w:pPr>
                    <w:autoSpaceDE w:val="0"/>
                    <w:autoSpaceDN w:val="0"/>
                    <w:adjustRightInd w:val="0"/>
                    <w:spacing w:after="8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9F0ADB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je Einzelwert</w:t>
                  </w:r>
                </w:p>
              </w:tc>
            </w:tr>
            <w:tr w:rsidR="00B57E16" w:rsidTr="00625816">
              <w:tc>
                <w:tcPr>
                  <w:tcW w:w="2841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80" w:line="240" w:lineRule="auto"/>
                    <w:ind w:left="79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Summe aller VOC ohne NIK</w:t>
                  </w:r>
                  <w:r w:rsidR="009324AE">
                    <w:rPr>
                      <w:rStyle w:val="Funotenzeichen"/>
                      <w:rFonts w:ascii="Arial" w:hAnsi="Arial"/>
                      <w:sz w:val="18"/>
                      <w:szCs w:val="18"/>
                      <w:lang w:eastAsia="de-DE"/>
                    </w:rPr>
                    <w:footnoteReference w:id="7"/>
                  </w: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8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-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8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≤ 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10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0 μg/m³</w:t>
                  </w:r>
                </w:p>
              </w:tc>
            </w:tr>
            <w:tr w:rsidR="00B57E16" w:rsidTr="00625816">
              <w:tc>
                <w:tcPr>
                  <w:tcW w:w="2841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80" w:line="240" w:lineRule="auto"/>
                    <w:ind w:left="79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R-Wert</w:t>
                  </w:r>
                  <w:r w:rsidR="009324AE">
                    <w:rPr>
                      <w:rStyle w:val="Funotenzeichen"/>
                      <w:rFonts w:ascii="Arial" w:hAnsi="Arial"/>
                      <w:sz w:val="18"/>
                      <w:szCs w:val="18"/>
                      <w:lang w:eastAsia="de-DE"/>
                    </w:rPr>
                    <w:footnoteReference w:id="8"/>
                  </w: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8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-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8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≤ </w:t>
                  </w:r>
                  <w:r w:rsidR="009F0ADB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1</w:t>
                  </w:r>
                </w:p>
              </w:tc>
            </w:tr>
            <w:tr w:rsidR="00B57E16" w:rsidTr="00625816">
              <w:tc>
                <w:tcPr>
                  <w:tcW w:w="2841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80" w:line="240" w:lineRule="auto"/>
                    <w:ind w:left="79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Formaldehyd</w:t>
                  </w: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before="60" w:after="8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-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</w:tcPr>
                <w:p w:rsidR="00B11F6F" w:rsidRDefault="00B57E16" w:rsidP="004961CE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≤ 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6</w:t>
                  </w:r>
                  <w:r w:rsidRPr="008D7429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0 μg/m³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 </w:t>
                  </w:r>
                </w:p>
                <w:p w:rsidR="00B57E16" w:rsidRPr="008D7429" w:rsidRDefault="00B57E16" w:rsidP="004961CE">
                  <w:pPr>
                    <w:autoSpaceDE w:val="0"/>
                    <w:autoSpaceDN w:val="0"/>
                    <w:adjustRightInd w:val="0"/>
                    <w:spacing w:after="80" w:line="240" w:lineRule="auto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>(0,05 ppm)</w:t>
                  </w:r>
                </w:p>
              </w:tc>
            </w:tr>
          </w:tbl>
          <w:p w:rsidR="00B57E16" w:rsidRPr="00790369" w:rsidRDefault="001F4080" w:rsidP="001F4080">
            <w:pPr>
              <w:autoSpaceDE w:val="0"/>
              <w:autoSpaceDN w:val="0"/>
              <w:adjustRightInd w:val="0"/>
              <w:spacing w:before="40" w:after="12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1F4080">
              <w:rPr>
                <w:rFonts w:ascii="Arial" w:hAnsi="Arial" w:cs="Arial"/>
                <w:sz w:val="20"/>
                <w:szCs w:val="20"/>
                <w:lang w:eastAsia="de-DE"/>
              </w:rPr>
              <w:t>Die Prüfung kann ab dem 7. Tag nach Beladung abgebrochen werden, wenn die geforderten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  <w:r w:rsidRPr="001F4080">
              <w:rPr>
                <w:rFonts w:ascii="Arial" w:hAnsi="Arial" w:cs="Arial"/>
                <w:sz w:val="20"/>
                <w:szCs w:val="20"/>
                <w:lang w:eastAsia="de-DE"/>
              </w:rPr>
              <w:t xml:space="preserve">Endwerte des 28. Tages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v</w:t>
            </w:r>
            <w:r w:rsidRPr="001F4080">
              <w:rPr>
                <w:rFonts w:ascii="Arial" w:hAnsi="Arial" w:cs="Arial"/>
                <w:sz w:val="20"/>
                <w:szCs w:val="20"/>
                <w:lang w:eastAsia="de-DE"/>
              </w:rPr>
              <w:t xml:space="preserve">orzeitig erreicht werden </w:t>
            </w:r>
            <w:r w:rsidR="006651B3">
              <w:rPr>
                <w:rFonts w:ascii="Arial" w:hAnsi="Arial" w:cs="Arial"/>
                <w:sz w:val="20"/>
                <w:szCs w:val="20"/>
                <w:lang w:eastAsia="de-DE"/>
              </w:rPr>
              <w:t>und im Vergleich zur Messung am</w:t>
            </w:r>
            <w:r w:rsidR="006651B3">
              <w:rPr>
                <w:rFonts w:ascii="Arial" w:hAnsi="Arial" w:cs="Arial"/>
                <w:sz w:val="20"/>
                <w:szCs w:val="20"/>
                <w:lang w:eastAsia="de-DE"/>
              </w:rPr>
              <w:br/>
            </w:r>
            <w:r w:rsidRPr="001F4080">
              <w:rPr>
                <w:rFonts w:ascii="Arial" w:hAnsi="Arial" w:cs="Arial"/>
                <w:sz w:val="20"/>
                <w:szCs w:val="20"/>
                <w:lang w:eastAsia="de-DE"/>
              </w:rPr>
              <w:t>3. Tag kein Konzentrationsanstieg einer der nachgewiesenen Substanzen feststellbar ist.</w:t>
            </w:r>
            <w:r w:rsidRPr="001F4080">
              <w:rPr>
                <w:rFonts w:ascii="Arial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1424" w:type="dxa"/>
          </w:tcPr>
          <w:p w:rsidR="00B57E16" w:rsidRPr="00812103" w:rsidRDefault="004830B3" w:rsidP="00865982">
            <w:pPr>
              <w:spacing w:before="40"/>
              <w:jc w:val="center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F0ADB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553" w:type="dxa"/>
          </w:tcPr>
          <w:p w:rsidR="00B57E16" w:rsidRPr="00812103" w:rsidRDefault="004830B3" w:rsidP="00865982">
            <w:pPr>
              <w:spacing w:before="40"/>
              <w:jc w:val="center"/>
            </w:pPr>
            <w:r w:rsidRPr="0081210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E16" w:rsidRPr="00812103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2103">
              <w:rPr>
                <w:sz w:val="20"/>
              </w:rPr>
              <w:fldChar w:fldCharType="end"/>
            </w:r>
          </w:p>
        </w:tc>
      </w:tr>
      <w:tr w:rsidR="00B57E16" w:rsidRPr="00865982" w:rsidTr="00625816">
        <w:tc>
          <w:tcPr>
            <w:tcW w:w="6629" w:type="dxa"/>
            <w:gridSpan w:val="2"/>
          </w:tcPr>
          <w:p w:rsidR="00B57E16" w:rsidRPr="00865982" w:rsidRDefault="00B57E16" w:rsidP="00865982">
            <w:pPr>
              <w:spacing w:line="240" w:lineRule="auto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1424" w:type="dxa"/>
          </w:tcPr>
          <w:p w:rsidR="00B57E16" w:rsidRPr="00865982" w:rsidRDefault="00B57E16" w:rsidP="00865982">
            <w:pPr>
              <w:spacing w:line="240" w:lineRule="auto"/>
              <w:jc w:val="center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1553" w:type="dxa"/>
          </w:tcPr>
          <w:p w:rsidR="00B57E16" w:rsidRPr="00865982" w:rsidRDefault="00B57E16" w:rsidP="00865982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</w:tbl>
    <w:p w:rsidR="00316D07" w:rsidRDefault="00316D07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2"/>
        <w:gridCol w:w="5867"/>
        <w:gridCol w:w="1424"/>
        <w:gridCol w:w="1553"/>
      </w:tblGrid>
      <w:tr w:rsidR="00B57E16" w:rsidRPr="00812103" w:rsidTr="00625816">
        <w:tc>
          <w:tcPr>
            <w:tcW w:w="762" w:type="dxa"/>
            <w:shd w:val="clear" w:color="auto" w:fill="C0C0C0"/>
          </w:tcPr>
          <w:p w:rsidR="00B57E16" w:rsidRPr="00812103" w:rsidRDefault="00B57E16" w:rsidP="004010F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867" w:type="dxa"/>
            <w:shd w:val="clear" w:color="auto" w:fill="C0C0C0"/>
          </w:tcPr>
          <w:p w:rsidR="00B57E16" w:rsidRPr="00812103" w:rsidRDefault="00B57E16" w:rsidP="00E10E75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Verwertung und Entsorgung</w:t>
            </w:r>
          </w:p>
        </w:tc>
        <w:tc>
          <w:tcPr>
            <w:tcW w:w="1424" w:type="dxa"/>
            <w:shd w:val="clear" w:color="auto" w:fill="C0C0C0"/>
          </w:tcPr>
          <w:p w:rsidR="00B57E16" w:rsidRPr="00812103" w:rsidRDefault="00B57E16" w:rsidP="004010F2">
            <w:pPr>
              <w:jc w:val="center"/>
            </w:pPr>
          </w:p>
        </w:tc>
        <w:tc>
          <w:tcPr>
            <w:tcW w:w="1553" w:type="dxa"/>
            <w:shd w:val="clear" w:color="auto" w:fill="C0C0C0"/>
          </w:tcPr>
          <w:p w:rsidR="00B57E16" w:rsidRPr="00812103" w:rsidRDefault="00B57E16" w:rsidP="004010F2">
            <w:pPr>
              <w:jc w:val="center"/>
            </w:pPr>
          </w:p>
        </w:tc>
      </w:tr>
      <w:tr w:rsidR="00B57E16" w:rsidRPr="00812103" w:rsidTr="00625816">
        <w:tc>
          <w:tcPr>
            <w:tcW w:w="762" w:type="dxa"/>
            <w:shd w:val="clear" w:color="auto" w:fill="E6E6E6"/>
          </w:tcPr>
          <w:p w:rsidR="00B57E16" w:rsidRPr="00812103" w:rsidRDefault="00B57E16" w:rsidP="004010F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12103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867" w:type="dxa"/>
            <w:shd w:val="clear" w:color="auto" w:fill="E6E6E6"/>
          </w:tcPr>
          <w:p w:rsidR="00B57E16" w:rsidRDefault="00B57E16" w:rsidP="00E10E75">
            <w:pPr>
              <w:pStyle w:val="Funotentext"/>
              <w:spacing w:before="40" w:after="20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Halogene</w:t>
            </w:r>
          </w:p>
        </w:tc>
        <w:tc>
          <w:tcPr>
            <w:tcW w:w="1424" w:type="dxa"/>
            <w:shd w:val="clear" w:color="auto" w:fill="E6E6E6"/>
          </w:tcPr>
          <w:p w:rsidR="00B57E16" w:rsidRPr="00812103" w:rsidRDefault="00B57E16" w:rsidP="004010F2">
            <w:pPr>
              <w:jc w:val="center"/>
            </w:pPr>
          </w:p>
        </w:tc>
        <w:tc>
          <w:tcPr>
            <w:tcW w:w="1553" w:type="dxa"/>
            <w:shd w:val="clear" w:color="auto" w:fill="E6E6E6"/>
          </w:tcPr>
          <w:p w:rsidR="00B57E16" w:rsidRPr="00812103" w:rsidRDefault="00B57E16" w:rsidP="004010F2">
            <w:pPr>
              <w:jc w:val="center"/>
            </w:pPr>
          </w:p>
        </w:tc>
      </w:tr>
      <w:tr w:rsidR="00B57E16" w:rsidRPr="00812103" w:rsidTr="00625816">
        <w:tc>
          <w:tcPr>
            <w:tcW w:w="762" w:type="dxa"/>
          </w:tcPr>
          <w:p w:rsidR="00B57E16" w:rsidRPr="00812103" w:rsidRDefault="00B57E16" w:rsidP="004010F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7" w:type="dxa"/>
          </w:tcPr>
          <w:p w:rsidR="00B57E16" w:rsidRPr="00420202" w:rsidRDefault="00B57E16" w:rsidP="003612DE">
            <w:pPr>
              <w:numPr>
                <w:ilvl w:val="0"/>
                <w:numId w:val="4"/>
              </w:numPr>
              <w:spacing w:before="4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10A6">
              <w:rPr>
                <w:rFonts w:ascii="Arial" w:hAnsi="Arial" w:cs="Arial"/>
                <w:sz w:val="20"/>
                <w:szCs w:val="20"/>
                <w:lang w:eastAsia="de-DE"/>
              </w:rPr>
              <w:t>Im Hinblick auf die Verwertung und Entsorgung dürfen bei der Herstellung von elastischen Bodenbelägen keine halogenierten organischen Verbindungen (z.B. als Bindemittel, Flammschutzmittel) eingesetzt werden.</w:t>
            </w:r>
          </w:p>
          <w:p w:rsidR="00740C6E" w:rsidRPr="00740C6E" w:rsidRDefault="00740C6E" w:rsidP="00740C6E">
            <w:pPr>
              <w:numPr>
                <w:ilvl w:val="0"/>
                <w:numId w:val="4"/>
              </w:numPr>
              <w:spacing w:before="40" w:after="12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40C6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Im Falle eines Nachweises ist der Gehalt der Halogene Fluor, Chlor und Brom durch Verbrennungsanalyse (Totalaufschluss) zu bestimmen und darf als Anteil tolerierbarer Verunreinigungen 1 g/kg nicht überschreiten.</w:t>
            </w:r>
          </w:p>
        </w:tc>
        <w:tc>
          <w:tcPr>
            <w:tcW w:w="1424" w:type="dxa"/>
          </w:tcPr>
          <w:p w:rsidR="00B57E16" w:rsidRPr="00812103" w:rsidRDefault="004830B3" w:rsidP="00865982">
            <w:pPr>
              <w:spacing w:before="40"/>
              <w:jc w:val="center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F0ADB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553" w:type="dxa"/>
          </w:tcPr>
          <w:p w:rsidR="00B57E16" w:rsidRPr="00812103" w:rsidRDefault="004830B3" w:rsidP="00865982">
            <w:pPr>
              <w:spacing w:before="40"/>
              <w:jc w:val="center"/>
            </w:pPr>
            <w:r w:rsidRPr="0081210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E16" w:rsidRPr="00812103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2103">
              <w:rPr>
                <w:sz w:val="20"/>
              </w:rPr>
              <w:fldChar w:fldCharType="end"/>
            </w:r>
          </w:p>
        </w:tc>
      </w:tr>
      <w:tr w:rsidR="00B57E16" w:rsidRPr="00812103" w:rsidTr="00625816">
        <w:tc>
          <w:tcPr>
            <w:tcW w:w="762" w:type="dxa"/>
            <w:shd w:val="clear" w:color="auto" w:fill="E6E6E6"/>
          </w:tcPr>
          <w:p w:rsidR="00B57E16" w:rsidRDefault="00B57E16" w:rsidP="004010F2">
            <w:pPr>
              <w:pStyle w:val="Funotentext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5867" w:type="dxa"/>
            <w:shd w:val="clear" w:color="auto" w:fill="E6E6E6"/>
          </w:tcPr>
          <w:p w:rsidR="00B57E16" w:rsidRPr="00812103" w:rsidRDefault="00B57E16" w:rsidP="00E10E7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Flammschutzmittel</w:t>
            </w:r>
          </w:p>
        </w:tc>
        <w:tc>
          <w:tcPr>
            <w:tcW w:w="1424" w:type="dxa"/>
            <w:shd w:val="clear" w:color="auto" w:fill="E6E6E6"/>
          </w:tcPr>
          <w:p w:rsidR="00B57E16" w:rsidRPr="00812103" w:rsidRDefault="00B57E16" w:rsidP="004010F2">
            <w:pPr>
              <w:jc w:val="center"/>
            </w:pPr>
          </w:p>
        </w:tc>
        <w:tc>
          <w:tcPr>
            <w:tcW w:w="1553" w:type="dxa"/>
            <w:shd w:val="clear" w:color="auto" w:fill="E6E6E6"/>
          </w:tcPr>
          <w:p w:rsidR="00B57E16" w:rsidRPr="00812103" w:rsidRDefault="00B57E16" w:rsidP="004010F2">
            <w:pPr>
              <w:jc w:val="center"/>
            </w:pPr>
          </w:p>
        </w:tc>
      </w:tr>
      <w:tr w:rsidR="00B57E16" w:rsidRPr="00812103" w:rsidTr="00625816">
        <w:trPr>
          <w:trHeight w:val="1216"/>
        </w:trPr>
        <w:tc>
          <w:tcPr>
            <w:tcW w:w="762" w:type="dxa"/>
          </w:tcPr>
          <w:p w:rsidR="00B57E16" w:rsidRDefault="00B57E16" w:rsidP="004010F2">
            <w:pPr>
              <w:pStyle w:val="Funotentext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867" w:type="dxa"/>
          </w:tcPr>
          <w:p w:rsidR="00B57E16" w:rsidRPr="0087716C" w:rsidRDefault="00740C6E" w:rsidP="00654D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Wenn </w:t>
            </w:r>
            <w:r w:rsidR="00B57E16" w:rsidRPr="0087716C">
              <w:rPr>
                <w:rFonts w:ascii="Arial" w:hAnsi="Arial" w:cs="Arial"/>
                <w:sz w:val="20"/>
                <w:szCs w:val="20"/>
                <w:lang w:eastAsia="de-DE"/>
              </w:rPr>
              <w:t>Flammschutzmittel eingesetzt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werden</w:t>
            </w:r>
            <w:r w:rsidR="00B57E16" w:rsidRPr="0087716C">
              <w:rPr>
                <w:rFonts w:ascii="Arial" w:hAnsi="Arial" w:cs="Arial"/>
                <w:sz w:val="20"/>
                <w:szCs w:val="20"/>
                <w:lang w:eastAsia="de-DE"/>
              </w:rPr>
              <w:t xml:space="preserve">, sind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nur </w:t>
            </w:r>
            <w:r w:rsidR="00B57E16" w:rsidRPr="0087716C">
              <w:rPr>
                <w:rFonts w:ascii="Arial" w:hAnsi="Arial" w:cs="Arial"/>
                <w:sz w:val="20"/>
                <w:szCs w:val="20"/>
                <w:lang w:eastAsia="de-DE"/>
              </w:rPr>
              <w:t>anorganische Ammoniumphosphate (</w:t>
            </w:r>
            <w:proofErr w:type="spellStart"/>
            <w:r w:rsidR="00B57E16" w:rsidRPr="0087716C">
              <w:rPr>
                <w:rFonts w:ascii="Arial" w:hAnsi="Arial" w:cs="Arial"/>
                <w:sz w:val="20"/>
                <w:szCs w:val="20"/>
                <w:lang w:eastAsia="de-DE"/>
              </w:rPr>
              <w:t>Diammoniumphosphat</w:t>
            </w:r>
            <w:proofErr w:type="spellEnd"/>
            <w:r w:rsidR="00B57E16" w:rsidRPr="0087716C">
              <w:rPr>
                <w:rFonts w:ascii="Arial" w:hAnsi="Arial" w:cs="Arial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="00B57E16" w:rsidRPr="0087716C">
              <w:rPr>
                <w:rFonts w:ascii="Arial" w:hAnsi="Arial" w:cs="Arial"/>
                <w:sz w:val="20"/>
                <w:szCs w:val="20"/>
                <w:lang w:eastAsia="de-DE"/>
              </w:rPr>
              <w:t>Ammoniumpolyphosphat</w:t>
            </w:r>
            <w:proofErr w:type="spellEnd"/>
            <w:r w:rsidR="00B57E16" w:rsidRPr="0087716C">
              <w:rPr>
                <w:rFonts w:ascii="Arial" w:hAnsi="Arial" w:cs="Arial"/>
                <w:sz w:val="20"/>
                <w:szCs w:val="20"/>
                <w:lang w:eastAsia="de-DE"/>
              </w:rPr>
              <w:t xml:space="preserve"> etc.), andere wasserabspaltende Minerale (Aluminiumhydroxyt o.ä.) oder Blähgrafit zulässig.</w:t>
            </w:r>
          </w:p>
        </w:tc>
        <w:tc>
          <w:tcPr>
            <w:tcW w:w="1424" w:type="dxa"/>
          </w:tcPr>
          <w:p w:rsidR="00B57E16" w:rsidRPr="00812103" w:rsidRDefault="004830B3" w:rsidP="00865982">
            <w:pPr>
              <w:spacing w:before="40"/>
              <w:jc w:val="center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F0ADB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553" w:type="dxa"/>
          </w:tcPr>
          <w:p w:rsidR="00B57E16" w:rsidRPr="00812103" w:rsidRDefault="004830B3" w:rsidP="00865982">
            <w:pPr>
              <w:spacing w:before="40"/>
              <w:jc w:val="center"/>
            </w:pPr>
            <w:r w:rsidRPr="0081210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E16" w:rsidRPr="00812103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12103">
              <w:rPr>
                <w:sz w:val="20"/>
              </w:rPr>
              <w:fldChar w:fldCharType="end"/>
            </w:r>
          </w:p>
        </w:tc>
      </w:tr>
    </w:tbl>
    <w:p w:rsidR="00B57E16" w:rsidRDefault="00B57E16" w:rsidP="005B3B48"/>
    <w:sectPr w:rsidR="00B57E16" w:rsidSect="00B11F6F">
      <w:footnotePr>
        <w:pos w:val="beneathText"/>
      </w:footnotePr>
      <w:endnotePr>
        <w:numFmt w:val="decimal"/>
      </w:endnotePr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B8" w:rsidRDefault="00D561B8">
      <w:r>
        <w:separator/>
      </w:r>
    </w:p>
  </w:endnote>
  <w:endnote w:type="continuationSeparator" w:id="0">
    <w:p w:rsidR="00D561B8" w:rsidRDefault="00D56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B8" w:rsidRDefault="00D561B8">
      <w:r>
        <w:separator/>
      </w:r>
    </w:p>
  </w:footnote>
  <w:footnote w:type="continuationSeparator" w:id="0">
    <w:p w:rsidR="00D561B8" w:rsidRDefault="00D561B8">
      <w:r>
        <w:continuationSeparator/>
      </w:r>
    </w:p>
  </w:footnote>
  <w:footnote w:id="1">
    <w:p w:rsidR="005A2BA9" w:rsidRDefault="005A2BA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A2033">
        <w:rPr>
          <w:rFonts w:ascii="Arial" w:hAnsi="Arial" w:cs="Arial"/>
        </w:rPr>
        <w:t xml:space="preserve">Die Kandidatenliste in der jeweils aktuellen Fassung befindet sich unter: </w:t>
      </w:r>
      <w:hyperlink r:id="rId1" w:history="1">
        <w:r w:rsidR="00E96EDC" w:rsidRPr="00C674FA">
          <w:rPr>
            <w:rStyle w:val="Hyperlink"/>
            <w:rFonts w:ascii="Arial" w:hAnsi="Arial" w:cs="Arial"/>
          </w:rPr>
          <w:t>http://echa.europa.eu/chem_data/authorisation_process/candidate_list_table_en.asp</w:t>
        </w:r>
      </w:hyperlink>
      <w:r w:rsidRPr="004A2033">
        <w:rPr>
          <w:rFonts w:ascii="Arial" w:hAnsi="Arial" w:cs="Arial"/>
          <w:color w:val="000000"/>
        </w:rPr>
        <w:t>.</w:t>
      </w:r>
    </w:p>
  </w:footnote>
  <w:footnote w:id="2">
    <w:p w:rsidR="005A2BA9" w:rsidRDefault="005A2BA9">
      <w:pPr>
        <w:pStyle w:val="Funotentext"/>
      </w:pPr>
      <w:r w:rsidRPr="006E4854">
        <w:rPr>
          <w:rStyle w:val="Funotenzeichen"/>
          <w:sz w:val="22"/>
          <w:szCs w:val="22"/>
        </w:rPr>
        <w:footnoteRef/>
      </w:r>
      <w:r>
        <w:t xml:space="preserve"> </w:t>
      </w:r>
      <w:r w:rsidRPr="00FB28A0">
        <w:rPr>
          <w:rFonts w:ascii="Arial" w:hAnsi="Arial" w:cs="Arial"/>
        </w:rPr>
        <w:t xml:space="preserve">Siehe </w:t>
      </w:r>
      <w:hyperlink r:id="rId2" w:history="1">
        <w:r w:rsidRPr="00865982">
          <w:rPr>
            <w:rStyle w:val="Hyperlink"/>
            <w:rFonts w:ascii="Arial" w:hAnsi="Arial" w:cs="Arial"/>
          </w:rPr>
          <w:t>http://www.baua.de/de/Themen-von-A-Z/Gefahrstoffe/TRGS/pdf/TRGS-552.pdf?__blob=publicationFile&amp;v=3</w:t>
        </w:r>
      </w:hyperlink>
    </w:p>
  </w:footnote>
  <w:footnote w:id="3">
    <w:p w:rsidR="005A2BA9" w:rsidRDefault="005A2BA9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3" w:history="1">
        <w:r w:rsidRPr="00865982">
          <w:rPr>
            <w:rStyle w:val="Hyperlink"/>
            <w:rFonts w:ascii="Arial" w:hAnsi="Arial" w:cs="Arial"/>
          </w:rPr>
          <w:t>http://www.gesetze-im-internet.de/bundesrecht/altholzv/gesamt.pdf</w:t>
        </w:r>
      </w:hyperlink>
    </w:p>
  </w:footnote>
  <w:footnote w:id="4">
    <w:p w:rsidR="005A2BA9" w:rsidRPr="006D6A31" w:rsidRDefault="005A2BA9">
      <w:pPr>
        <w:pStyle w:val="Funotentext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6D6A31">
        <w:rPr>
          <w:rFonts w:ascii="Arial" w:hAnsi="Arial" w:cs="Arial"/>
        </w:rPr>
        <w:t xml:space="preserve">Aktueller Norm-Entwurf DIN EN 643:2012-08, Papier und Pappe – Europäische Liste der Altpapier-Standardsorten; Deutsche Fassung prEN643:2012 gegen Gebühr abrufbar unter </w:t>
      </w:r>
      <w:hyperlink r:id="rId4" w:history="1">
        <w:r w:rsidRPr="00A46557">
          <w:rPr>
            <w:rStyle w:val="Hyperlink"/>
            <w:rFonts w:ascii="Arial" w:hAnsi="Arial" w:cs="Arial"/>
          </w:rPr>
          <w:t>http://www.beuth.de/de/norm-entwurf/din-en-643/153888628</w:t>
        </w:r>
      </w:hyperlink>
      <w:r>
        <w:rPr>
          <w:rFonts w:ascii="Arial" w:hAnsi="Arial" w:cs="Arial"/>
        </w:rPr>
        <w:t>.</w:t>
      </w:r>
    </w:p>
  </w:footnote>
  <w:footnote w:id="5">
    <w:p w:rsidR="005A2BA9" w:rsidRDefault="005A2BA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324AE">
        <w:rPr>
          <w:rFonts w:ascii="Arial" w:hAnsi="Arial" w:cs="Arial"/>
        </w:rPr>
        <w:t xml:space="preserve">Siehe AgBB-Bewertungsschema </w:t>
      </w:r>
      <w:hyperlink r:id="rId5" w:history="1">
        <w:r w:rsidRPr="00937A73">
          <w:rPr>
            <w:rStyle w:val="Hyperlink"/>
            <w:rFonts w:ascii="Arial" w:hAnsi="Arial" w:cs="Arial"/>
          </w:rPr>
          <w:t>http://www.umweltbundesamt.de/produkte/bauprodukte/</w:t>
        </w:r>
        <w:r w:rsidRPr="00937A73">
          <w:rPr>
            <w:rStyle w:val="Hyperlink"/>
            <w:rFonts w:ascii="Arial" w:hAnsi="Arial" w:cs="Arial"/>
          </w:rPr>
          <w:softHyphen/>
          <w:t>dokumente/agbb_bewertungsschema_2012.pdf</w:t>
        </w:r>
      </w:hyperlink>
    </w:p>
  </w:footnote>
  <w:footnote w:id="6">
    <w:p w:rsidR="005A2BA9" w:rsidRDefault="005A2BA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B65CB">
        <w:rPr>
          <w:rFonts w:ascii="Arial" w:hAnsi="Arial" w:cs="Arial"/>
        </w:rPr>
        <w:t>Stoffe, die gemäß Ziffer 1.1 Allgemeine stoffliche Anforderungen in Punkt 2) als krebserzeugend eingestuft sind.</w:t>
      </w:r>
    </w:p>
  </w:footnote>
  <w:footnote w:id="7">
    <w:p w:rsidR="005A2BA9" w:rsidRPr="006651B3" w:rsidRDefault="005A2BA9">
      <w:pPr>
        <w:pStyle w:val="Funotentext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9324AE">
        <w:rPr>
          <w:rFonts w:ascii="Arial" w:hAnsi="Arial" w:cs="Arial"/>
        </w:rPr>
        <w:t xml:space="preserve">Siehe </w:t>
      </w:r>
      <w:proofErr w:type="spellStart"/>
      <w:r w:rsidRPr="009324AE">
        <w:rPr>
          <w:rFonts w:ascii="Arial" w:hAnsi="Arial" w:cs="Arial"/>
        </w:rPr>
        <w:t>AgBB</w:t>
      </w:r>
      <w:proofErr w:type="spellEnd"/>
      <w:r w:rsidRPr="009324AE">
        <w:rPr>
          <w:rFonts w:ascii="Arial" w:hAnsi="Arial" w:cs="Arial"/>
        </w:rPr>
        <w:t xml:space="preserve">-Bewertungsschema </w:t>
      </w:r>
      <w:hyperlink r:id="rId6" w:history="1">
        <w:r w:rsidR="006651B3" w:rsidRPr="00A07495">
          <w:rPr>
            <w:rStyle w:val="Hyperlink"/>
            <w:rFonts w:ascii="Arial" w:hAnsi="Arial" w:cs="Arial"/>
          </w:rPr>
          <w:t>http://www.umweltbundesamt.de/produkte/bauprodukte/-dokumente/agbb_bewertungsschema_2012.pdf</w:t>
        </w:r>
      </w:hyperlink>
      <w:r w:rsidR="006651B3" w:rsidRPr="006651B3">
        <w:rPr>
          <w:rFonts w:ascii="Arial" w:hAnsi="Arial" w:cs="Arial"/>
        </w:rPr>
        <w:t xml:space="preserve">. </w:t>
      </w:r>
      <w:r w:rsidRPr="006651B3">
        <w:rPr>
          <w:rFonts w:ascii="Arial" w:hAnsi="Arial" w:cs="Arial"/>
        </w:rPr>
        <w:t>Es gilt die jeweils aktuelle Fassung.</w:t>
      </w:r>
    </w:p>
  </w:footnote>
  <w:footnote w:id="8">
    <w:p w:rsidR="005A2BA9" w:rsidRDefault="005A2BA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324AE">
        <w:rPr>
          <w:rFonts w:ascii="Arial" w:hAnsi="Arial" w:cs="Arial"/>
        </w:rPr>
        <w:t>R = Summe aller Quotienten (C</w:t>
      </w:r>
      <w:r w:rsidRPr="009324AE">
        <w:rPr>
          <w:rFonts w:ascii="Arial" w:hAnsi="Arial" w:cs="Arial"/>
          <w:vertAlign w:val="subscript"/>
        </w:rPr>
        <w:t>i</w:t>
      </w:r>
      <w:r w:rsidRPr="009324AE">
        <w:rPr>
          <w:rFonts w:ascii="Arial" w:hAnsi="Arial" w:cs="Arial"/>
        </w:rPr>
        <w:t> / NIK</w:t>
      </w:r>
      <w:r w:rsidRPr="009324AE">
        <w:rPr>
          <w:rFonts w:ascii="Arial" w:hAnsi="Arial" w:cs="Arial"/>
          <w:vertAlign w:val="subscript"/>
        </w:rPr>
        <w:t>i</w:t>
      </w:r>
      <w:r w:rsidRPr="009324AE">
        <w:rPr>
          <w:rFonts w:ascii="Arial" w:hAnsi="Arial" w:cs="Arial"/>
        </w:rPr>
        <w:t>) ≤ 1 (mit C</w:t>
      </w:r>
      <w:r w:rsidRPr="009324AE">
        <w:rPr>
          <w:rFonts w:ascii="Arial" w:hAnsi="Arial" w:cs="Arial"/>
          <w:vertAlign w:val="subscript"/>
        </w:rPr>
        <w:t>i</w:t>
      </w:r>
      <w:r w:rsidRPr="009324AE">
        <w:rPr>
          <w:rFonts w:ascii="Arial" w:hAnsi="Arial" w:cs="Arial"/>
        </w:rPr>
        <w:t> = Stoffkonzentration in der Kammerluft, NIK</w:t>
      </w:r>
      <w:r w:rsidRPr="009324AE">
        <w:rPr>
          <w:rFonts w:ascii="Arial" w:hAnsi="Arial" w:cs="Arial"/>
          <w:vertAlign w:val="subscript"/>
        </w:rPr>
        <w:t>i</w:t>
      </w:r>
      <w:r w:rsidRPr="009324AE">
        <w:rPr>
          <w:rFonts w:ascii="Arial" w:hAnsi="Arial" w:cs="Arial"/>
        </w:rPr>
        <w:t> = NIK-Wert des Stoffes), vgl. AgBB-Bewertungsschema.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F19"/>
    <w:multiLevelType w:val="hybridMultilevel"/>
    <w:tmpl w:val="3FDA0892"/>
    <w:lvl w:ilvl="0" w:tplc="525ADCB4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Courier New" w:hAnsi="Courier New" w:hint="default"/>
      </w:rPr>
    </w:lvl>
    <w:lvl w:ilvl="1" w:tplc="9E024096">
      <w:start w:val="1"/>
      <w:numFmt w:val="decimal"/>
      <w:lvlText w:val="%2)"/>
      <w:lvlJc w:val="left"/>
      <w:pPr>
        <w:tabs>
          <w:tab w:val="num" w:pos="796"/>
        </w:tabs>
        <w:ind w:left="796" w:hanging="567"/>
      </w:pPr>
      <w:rPr>
        <w:rFonts w:cs="Times New Roman" w:hint="default"/>
        <w:b w:val="0"/>
      </w:rPr>
    </w:lvl>
    <w:lvl w:ilvl="2" w:tplc="B450180E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  <w:rPr>
        <w:rFonts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">
    <w:nsid w:val="0F2812ED"/>
    <w:multiLevelType w:val="hybridMultilevel"/>
    <w:tmpl w:val="A40610C8"/>
    <w:lvl w:ilvl="0" w:tplc="04070001">
      <w:start w:val="1"/>
      <w:numFmt w:val="bullet"/>
      <w:lvlText w:val=""/>
      <w:lvlJc w:val="left"/>
      <w:pPr>
        <w:tabs>
          <w:tab w:val="num" w:pos="726"/>
        </w:tabs>
        <w:ind w:left="726" w:hanging="36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">
    <w:nsid w:val="17AB21E5"/>
    <w:multiLevelType w:val="hybridMultilevel"/>
    <w:tmpl w:val="B9383CBE"/>
    <w:lvl w:ilvl="0" w:tplc="525ADCB4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C64C8"/>
    <w:multiLevelType w:val="hybridMultilevel"/>
    <w:tmpl w:val="2CB4675A"/>
    <w:lvl w:ilvl="0" w:tplc="04070001">
      <w:start w:val="1"/>
      <w:numFmt w:val="bullet"/>
      <w:lvlText w:val=""/>
      <w:lvlJc w:val="left"/>
      <w:pPr>
        <w:tabs>
          <w:tab w:val="num" w:pos="726"/>
        </w:tabs>
        <w:ind w:left="726" w:hanging="36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4">
    <w:nsid w:val="458C49AA"/>
    <w:multiLevelType w:val="hybridMultilevel"/>
    <w:tmpl w:val="A616048C"/>
    <w:lvl w:ilvl="0" w:tplc="D33656F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55006E78">
      <w:start w:val="1"/>
      <w:numFmt w:val="decimal"/>
      <w:lvlText w:val="%2)"/>
      <w:lvlJc w:val="left"/>
      <w:pPr>
        <w:tabs>
          <w:tab w:val="num" w:pos="646"/>
        </w:tabs>
        <w:ind w:left="646" w:hanging="283"/>
      </w:pPr>
      <w:rPr>
        <w:rFonts w:cs="Times New Roman" w:hint="default"/>
        <w:b w:val="0"/>
      </w:rPr>
    </w:lvl>
    <w:lvl w:ilvl="2" w:tplc="B450180E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  <w:rPr>
        <w:rFonts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5">
    <w:nsid w:val="6D30201E"/>
    <w:multiLevelType w:val="hybridMultilevel"/>
    <w:tmpl w:val="0E7A9F80"/>
    <w:lvl w:ilvl="0" w:tplc="5CB85D80">
      <w:start w:val="1"/>
      <w:numFmt w:val="bullet"/>
      <w:lvlText w:val=""/>
      <w:lvlJc w:val="left"/>
      <w:pPr>
        <w:tabs>
          <w:tab w:val="num" w:pos="987"/>
        </w:tabs>
        <w:ind w:left="987" w:hanging="267"/>
      </w:pPr>
      <w:rPr>
        <w:rFonts w:ascii="Symbol" w:hAnsi="Symbol" w:hint="default"/>
      </w:rPr>
    </w:lvl>
    <w:lvl w:ilvl="1" w:tplc="932C76CC">
      <w:start w:val="2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6">
    <w:nsid w:val="73E32AFE"/>
    <w:multiLevelType w:val="hybridMultilevel"/>
    <w:tmpl w:val="03C63B60"/>
    <w:lvl w:ilvl="0" w:tplc="5CB85D80">
      <w:start w:val="1"/>
      <w:numFmt w:val="bullet"/>
      <w:lvlText w:val=""/>
      <w:lvlJc w:val="left"/>
      <w:pPr>
        <w:tabs>
          <w:tab w:val="num" w:pos="624"/>
        </w:tabs>
        <w:ind w:left="624" w:hanging="26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D92989"/>
    <w:multiLevelType w:val="hybridMultilevel"/>
    <w:tmpl w:val="533801B4"/>
    <w:lvl w:ilvl="0" w:tplc="525ADCB4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tabs>
          <w:tab w:val="num" w:pos="796"/>
        </w:tabs>
        <w:ind w:left="796" w:hanging="567"/>
      </w:pPr>
      <w:rPr>
        <w:rFonts w:ascii="Symbol" w:hAnsi="Symbol" w:hint="default"/>
        <w:b w:val="0"/>
      </w:rPr>
    </w:lvl>
    <w:lvl w:ilvl="2" w:tplc="B450180E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  <w:rPr>
        <w:rFonts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D45FD1"/>
    <w:rsid w:val="00002EFD"/>
    <w:rsid w:val="00044B36"/>
    <w:rsid w:val="00046A9C"/>
    <w:rsid w:val="000475C2"/>
    <w:rsid w:val="00065409"/>
    <w:rsid w:val="000A6930"/>
    <w:rsid w:val="000B7A00"/>
    <w:rsid w:val="000C2C39"/>
    <w:rsid w:val="000C2C77"/>
    <w:rsid w:val="000E3E6A"/>
    <w:rsid w:val="0010034A"/>
    <w:rsid w:val="0010270F"/>
    <w:rsid w:val="001029D8"/>
    <w:rsid w:val="0012351D"/>
    <w:rsid w:val="00172230"/>
    <w:rsid w:val="00187D90"/>
    <w:rsid w:val="001B792D"/>
    <w:rsid w:val="001D4989"/>
    <w:rsid w:val="001D7374"/>
    <w:rsid w:val="001F31BD"/>
    <w:rsid w:val="001F4080"/>
    <w:rsid w:val="00214765"/>
    <w:rsid w:val="00214798"/>
    <w:rsid w:val="00224F9A"/>
    <w:rsid w:val="00232FE2"/>
    <w:rsid w:val="00265FAD"/>
    <w:rsid w:val="00266340"/>
    <w:rsid w:val="00284EF4"/>
    <w:rsid w:val="0028702E"/>
    <w:rsid w:val="0029300C"/>
    <w:rsid w:val="002949C3"/>
    <w:rsid w:val="002A5807"/>
    <w:rsid w:val="002B0B7B"/>
    <w:rsid w:val="002B4F9B"/>
    <w:rsid w:val="002C407D"/>
    <w:rsid w:val="002D0780"/>
    <w:rsid w:val="002D6DC2"/>
    <w:rsid w:val="002E7789"/>
    <w:rsid w:val="00307A94"/>
    <w:rsid w:val="00316D07"/>
    <w:rsid w:val="00330AB0"/>
    <w:rsid w:val="003372B5"/>
    <w:rsid w:val="00346DEB"/>
    <w:rsid w:val="003612DE"/>
    <w:rsid w:val="003635BE"/>
    <w:rsid w:val="003920A4"/>
    <w:rsid w:val="003A3BAC"/>
    <w:rsid w:val="003A4210"/>
    <w:rsid w:val="003A59EA"/>
    <w:rsid w:val="003B712D"/>
    <w:rsid w:val="003E45D2"/>
    <w:rsid w:val="004010F2"/>
    <w:rsid w:val="00420202"/>
    <w:rsid w:val="00460394"/>
    <w:rsid w:val="004830B3"/>
    <w:rsid w:val="004835E9"/>
    <w:rsid w:val="00492CA6"/>
    <w:rsid w:val="004961CE"/>
    <w:rsid w:val="004A2033"/>
    <w:rsid w:val="004B4F6D"/>
    <w:rsid w:val="004B5258"/>
    <w:rsid w:val="004B655F"/>
    <w:rsid w:val="004F2DFF"/>
    <w:rsid w:val="004F669E"/>
    <w:rsid w:val="00514070"/>
    <w:rsid w:val="00514211"/>
    <w:rsid w:val="0053046D"/>
    <w:rsid w:val="005523E0"/>
    <w:rsid w:val="0057597F"/>
    <w:rsid w:val="005802A2"/>
    <w:rsid w:val="00585FFF"/>
    <w:rsid w:val="005A2BA9"/>
    <w:rsid w:val="005B3B48"/>
    <w:rsid w:val="005D1E6D"/>
    <w:rsid w:val="005D7A01"/>
    <w:rsid w:val="005E20AD"/>
    <w:rsid w:val="00602BD8"/>
    <w:rsid w:val="00612CC6"/>
    <w:rsid w:val="00613130"/>
    <w:rsid w:val="00614C07"/>
    <w:rsid w:val="00625816"/>
    <w:rsid w:val="00641079"/>
    <w:rsid w:val="00643C2E"/>
    <w:rsid w:val="00654D9A"/>
    <w:rsid w:val="00656E65"/>
    <w:rsid w:val="006651B3"/>
    <w:rsid w:val="00665AA2"/>
    <w:rsid w:val="00674FA6"/>
    <w:rsid w:val="00694738"/>
    <w:rsid w:val="00694C0D"/>
    <w:rsid w:val="006A1CD4"/>
    <w:rsid w:val="006C2842"/>
    <w:rsid w:val="006D1A02"/>
    <w:rsid w:val="006D6A31"/>
    <w:rsid w:val="006E2800"/>
    <w:rsid w:val="006E4854"/>
    <w:rsid w:val="00715742"/>
    <w:rsid w:val="00717F2C"/>
    <w:rsid w:val="00720A6B"/>
    <w:rsid w:val="007242D5"/>
    <w:rsid w:val="007353CE"/>
    <w:rsid w:val="00740C6E"/>
    <w:rsid w:val="00746D66"/>
    <w:rsid w:val="00753FAD"/>
    <w:rsid w:val="00774577"/>
    <w:rsid w:val="00775FBD"/>
    <w:rsid w:val="00784CD6"/>
    <w:rsid w:val="00784D00"/>
    <w:rsid w:val="00790369"/>
    <w:rsid w:val="007A4B71"/>
    <w:rsid w:val="007E4862"/>
    <w:rsid w:val="007F1FE5"/>
    <w:rsid w:val="008018C8"/>
    <w:rsid w:val="00812103"/>
    <w:rsid w:val="008270A0"/>
    <w:rsid w:val="00834289"/>
    <w:rsid w:val="00855531"/>
    <w:rsid w:val="00865982"/>
    <w:rsid w:val="0087716C"/>
    <w:rsid w:val="008B5C68"/>
    <w:rsid w:val="008D2317"/>
    <w:rsid w:val="008D4811"/>
    <w:rsid w:val="008D7429"/>
    <w:rsid w:val="008F69D3"/>
    <w:rsid w:val="00913449"/>
    <w:rsid w:val="00921A81"/>
    <w:rsid w:val="009324AE"/>
    <w:rsid w:val="0093447E"/>
    <w:rsid w:val="00967533"/>
    <w:rsid w:val="00970C62"/>
    <w:rsid w:val="009810A6"/>
    <w:rsid w:val="0098348A"/>
    <w:rsid w:val="009858B6"/>
    <w:rsid w:val="009864A0"/>
    <w:rsid w:val="0099199A"/>
    <w:rsid w:val="00997023"/>
    <w:rsid w:val="009A1EEA"/>
    <w:rsid w:val="009A64B5"/>
    <w:rsid w:val="009B1FEE"/>
    <w:rsid w:val="009C2822"/>
    <w:rsid w:val="009C562F"/>
    <w:rsid w:val="009E22DF"/>
    <w:rsid w:val="009F0ADB"/>
    <w:rsid w:val="009F3F26"/>
    <w:rsid w:val="00A32AEA"/>
    <w:rsid w:val="00A42C9E"/>
    <w:rsid w:val="00A47456"/>
    <w:rsid w:val="00A57ED2"/>
    <w:rsid w:val="00A61756"/>
    <w:rsid w:val="00A96E5B"/>
    <w:rsid w:val="00AA1B7F"/>
    <w:rsid w:val="00AA352F"/>
    <w:rsid w:val="00AC1DB4"/>
    <w:rsid w:val="00AF229D"/>
    <w:rsid w:val="00B11057"/>
    <w:rsid w:val="00B11F6F"/>
    <w:rsid w:val="00B14E10"/>
    <w:rsid w:val="00B15F97"/>
    <w:rsid w:val="00B47B91"/>
    <w:rsid w:val="00B55904"/>
    <w:rsid w:val="00B57B71"/>
    <w:rsid w:val="00B57E16"/>
    <w:rsid w:val="00B62D33"/>
    <w:rsid w:val="00B71B62"/>
    <w:rsid w:val="00B95D2D"/>
    <w:rsid w:val="00BA200B"/>
    <w:rsid w:val="00BA290F"/>
    <w:rsid w:val="00BC431E"/>
    <w:rsid w:val="00BC46F0"/>
    <w:rsid w:val="00C047E8"/>
    <w:rsid w:val="00C05DFB"/>
    <w:rsid w:val="00C109EA"/>
    <w:rsid w:val="00C17E7D"/>
    <w:rsid w:val="00C365D8"/>
    <w:rsid w:val="00C55C29"/>
    <w:rsid w:val="00C57A43"/>
    <w:rsid w:val="00C82DA7"/>
    <w:rsid w:val="00C96DDE"/>
    <w:rsid w:val="00CA0CEE"/>
    <w:rsid w:val="00CC6E82"/>
    <w:rsid w:val="00CD30CC"/>
    <w:rsid w:val="00CE01AF"/>
    <w:rsid w:val="00CE2D86"/>
    <w:rsid w:val="00D41395"/>
    <w:rsid w:val="00D45FD1"/>
    <w:rsid w:val="00D536F9"/>
    <w:rsid w:val="00D561B8"/>
    <w:rsid w:val="00D75B09"/>
    <w:rsid w:val="00D96484"/>
    <w:rsid w:val="00DE124B"/>
    <w:rsid w:val="00DE3F05"/>
    <w:rsid w:val="00E037AD"/>
    <w:rsid w:val="00E05052"/>
    <w:rsid w:val="00E0609D"/>
    <w:rsid w:val="00E06C30"/>
    <w:rsid w:val="00E10E75"/>
    <w:rsid w:val="00E14D1D"/>
    <w:rsid w:val="00E23445"/>
    <w:rsid w:val="00E761EF"/>
    <w:rsid w:val="00E81A39"/>
    <w:rsid w:val="00E87A71"/>
    <w:rsid w:val="00E96EDC"/>
    <w:rsid w:val="00EA5744"/>
    <w:rsid w:val="00EB2B1D"/>
    <w:rsid w:val="00ED02FC"/>
    <w:rsid w:val="00EE4CB0"/>
    <w:rsid w:val="00F01A93"/>
    <w:rsid w:val="00F023BB"/>
    <w:rsid w:val="00F21632"/>
    <w:rsid w:val="00F22801"/>
    <w:rsid w:val="00F4000E"/>
    <w:rsid w:val="00F46645"/>
    <w:rsid w:val="00F531E6"/>
    <w:rsid w:val="00F55A0A"/>
    <w:rsid w:val="00F55D7B"/>
    <w:rsid w:val="00F71B7F"/>
    <w:rsid w:val="00F74FDA"/>
    <w:rsid w:val="00FB28A0"/>
    <w:rsid w:val="00FB44AD"/>
    <w:rsid w:val="00FB65CB"/>
    <w:rsid w:val="00FE42B5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1B7F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45FD1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1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45FD1"/>
    <w:pPr>
      <w:keepNext/>
      <w:spacing w:before="20" w:after="20" w:line="240" w:lineRule="auto"/>
      <w:outlineLvl w:val="2"/>
    </w:pPr>
    <w:rPr>
      <w:rFonts w:ascii="Arial" w:eastAsia="Times New Roman" w:hAnsi="Arial" w:cs="Arial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5FD1"/>
    <w:rPr>
      <w:rFonts w:ascii="Arial" w:hAnsi="Arial" w:cs="Arial"/>
      <w:b/>
      <w:bCs/>
      <w:color w:val="000000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5FD1"/>
    <w:rPr>
      <w:rFonts w:ascii="Arial" w:hAnsi="Arial" w:cs="Arial"/>
      <w:b/>
      <w:bCs/>
      <w:lang w:eastAsia="de-DE"/>
    </w:rPr>
  </w:style>
  <w:style w:type="table" w:styleId="Tabellengitternetz">
    <w:name w:val="Table Grid"/>
    <w:basedOn w:val="NormaleTabelle"/>
    <w:uiPriority w:val="99"/>
    <w:rsid w:val="00D45F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D45FD1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45FD1"/>
    <w:rPr>
      <w:rFonts w:ascii="Tahoma" w:hAnsi="Tahoma" w:cs="Tahoma"/>
      <w:sz w:val="16"/>
      <w:szCs w:val="16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D45FD1"/>
    <w:pPr>
      <w:tabs>
        <w:tab w:val="left" w:pos="314"/>
      </w:tabs>
      <w:autoSpaceDE w:val="0"/>
      <w:autoSpaceDN w:val="0"/>
      <w:adjustRightInd w:val="0"/>
      <w:spacing w:after="0" w:line="240" w:lineRule="auto"/>
      <w:ind w:left="314" w:hanging="314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D45FD1"/>
    <w:rPr>
      <w:rFonts w:ascii="Arial" w:hAnsi="Arial" w:cs="Arial"/>
      <w:color w:val="000000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D45F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D45FD1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arial">
    <w:name w:val="arial"/>
    <w:basedOn w:val="Absatz-Standardschriftart"/>
    <w:uiPriority w:val="99"/>
    <w:rsid w:val="00D45FD1"/>
    <w:rPr>
      <w:rFonts w:cs="Times New Roman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D45FD1"/>
    <w:pPr>
      <w:tabs>
        <w:tab w:val="left" w:pos="314"/>
      </w:tabs>
      <w:autoSpaceDE w:val="0"/>
      <w:autoSpaceDN w:val="0"/>
      <w:adjustRightInd w:val="0"/>
      <w:spacing w:after="120" w:line="240" w:lineRule="auto"/>
      <w:ind w:left="312" w:hanging="312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D45FD1"/>
    <w:rPr>
      <w:rFonts w:ascii="Arial" w:hAnsi="Arial" w:cs="Arial"/>
      <w:color w:val="000000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D45FD1"/>
    <w:pPr>
      <w:spacing w:before="40"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D45FD1"/>
    <w:rPr>
      <w:rFonts w:ascii="Arial" w:hAnsi="Arial" w:cs="Arial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A290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774577"/>
    <w:rPr>
      <w:rFonts w:cs="Times New Roman"/>
      <w:sz w:val="20"/>
      <w:szCs w:val="20"/>
      <w:lang w:eastAsia="en-US"/>
    </w:rPr>
  </w:style>
  <w:style w:type="character" w:styleId="Endnotenzeichen">
    <w:name w:val="endnote reference"/>
    <w:basedOn w:val="Absatz-Standardschriftart"/>
    <w:uiPriority w:val="99"/>
    <w:semiHidden/>
    <w:rsid w:val="00BA290F"/>
    <w:rPr>
      <w:rFonts w:cs="Times New Roman"/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rsid w:val="00AC1DB4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C1D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74577"/>
    <w:rPr>
      <w:rFonts w:cs="Times New Roman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C1D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74577"/>
    <w:rPr>
      <w:rFonts w:cs="Times New Roman"/>
      <w:b/>
      <w:bCs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rsid w:val="00FB4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774577"/>
    <w:rPr>
      <w:rFonts w:cs="Times New Roman"/>
      <w:lang w:eastAsia="en-US"/>
    </w:rPr>
  </w:style>
  <w:style w:type="paragraph" w:styleId="Fuzeile">
    <w:name w:val="footer"/>
    <w:basedOn w:val="Standard"/>
    <w:link w:val="FuzeileZchn"/>
    <w:uiPriority w:val="99"/>
    <w:rsid w:val="00FB4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74577"/>
    <w:rPr>
      <w:rFonts w:cs="Times New Roman"/>
      <w:lang w:eastAsia="en-US"/>
    </w:rPr>
  </w:style>
  <w:style w:type="character" w:styleId="Funotenzeichen">
    <w:name w:val="footnote reference"/>
    <w:basedOn w:val="Absatz-Standardschriftart"/>
    <w:uiPriority w:val="99"/>
    <w:semiHidden/>
    <w:rsid w:val="009810A6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775FB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E7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1B7F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45FD1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1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45FD1"/>
    <w:pPr>
      <w:keepNext/>
      <w:spacing w:before="20" w:after="20" w:line="240" w:lineRule="auto"/>
      <w:outlineLvl w:val="2"/>
    </w:pPr>
    <w:rPr>
      <w:rFonts w:ascii="Arial" w:eastAsia="Times New Roman" w:hAnsi="Arial" w:cs="Arial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5FD1"/>
    <w:rPr>
      <w:rFonts w:ascii="Arial" w:hAnsi="Arial" w:cs="Arial"/>
      <w:b/>
      <w:bCs/>
      <w:color w:val="000000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5FD1"/>
    <w:rPr>
      <w:rFonts w:ascii="Arial" w:hAnsi="Arial" w:cs="Arial"/>
      <w:b/>
      <w:bCs/>
      <w:lang w:eastAsia="de-DE"/>
    </w:rPr>
  </w:style>
  <w:style w:type="table" w:styleId="Tabellenraster">
    <w:name w:val="Table Grid"/>
    <w:basedOn w:val="NormaleTabelle"/>
    <w:uiPriority w:val="99"/>
    <w:rsid w:val="00D45F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D45FD1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45FD1"/>
    <w:rPr>
      <w:rFonts w:ascii="Tahoma" w:hAnsi="Tahoma" w:cs="Tahoma"/>
      <w:sz w:val="16"/>
      <w:szCs w:val="16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D45FD1"/>
    <w:pPr>
      <w:tabs>
        <w:tab w:val="left" w:pos="314"/>
      </w:tabs>
      <w:autoSpaceDE w:val="0"/>
      <w:autoSpaceDN w:val="0"/>
      <w:adjustRightInd w:val="0"/>
      <w:spacing w:after="0" w:line="240" w:lineRule="auto"/>
      <w:ind w:left="314" w:hanging="314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D45FD1"/>
    <w:rPr>
      <w:rFonts w:ascii="Arial" w:hAnsi="Arial" w:cs="Arial"/>
      <w:color w:val="000000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D45F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D45FD1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arial">
    <w:name w:val="arial"/>
    <w:basedOn w:val="Absatz-Standardschriftart"/>
    <w:uiPriority w:val="99"/>
    <w:rsid w:val="00D45FD1"/>
    <w:rPr>
      <w:rFonts w:cs="Times New Roman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D45FD1"/>
    <w:pPr>
      <w:tabs>
        <w:tab w:val="left" w:pos="314"/>
      </w:tabs>
      <w:autoSpaceDE w:val="0"/>
      <w:autoSpaceDN w:val="0"/>
      <w:adjustRightInd w:val="0"/>
      <w:spacing w:after="120" w:line="240" w:lineRule="auto"/>
      <w:ind w:left="312" w:hanging="312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D45FD1"/>
    <w:rPr>
      <w:rFonts w:ascii="Arial" w:hAnsi="Arial" w:cs="Arial"/>
      <w:color w:val="000000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D45FD1"/>
    <w:pPr>
      <w:spacing w:before="40"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D45FD1"/>
    <w:rPr>
      <w:rFonts w:ascii="Arial" w:hAnsi="Arial" w:cs="Arial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A290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774577"/>
    <w:rPr>
      <w:rFonts w:cs="Times New Roman"/>
      <w:sz w:val="20"/>
      <w:szCs w:val="20"/>
      <w:lang w:eastAsia="en-US"/>
    </w:rPr>
  </w:style>
  <w:style w:type="character" w:styleId="Endnotenzeichen">
    <w:name w:val="endnote reference"/>
    <w:basedOn w:val="Absatz-Standardschriftart"/>
    <w:uiPriority w:val="99"/>
    <w:semiHidden/>
    <w:rsid w:val="00BA290F"/>
    <w:rPr>
      <w:rFonts w:cs="Times New Roman"/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rsid w:val="00AC1DB4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C1D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74577"/>
    <w:rPr>
      <w:rFonts w:cs="Times New Roman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C1D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74577"/>
    <w:rPr>
      <w:rFonts w:cs="Times New Roman"/>
      <w:b/>
      <w:bCs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rsid w:val="00FB4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774577"/>
    <w:rPr>
      <w:rFonts w:cs="Times New Roman"/>
      <w:lang w:eastAsia="en-US"/>
    </w:rPr>
  </w:style>
  <w:style w:type="paragraph" w:styleId="Fuzeile">
    <w:name w:val="footer"/>
    <w:basedOn w:val="Standard"/>
    <w:link w:val="FuzeileZchn"/>
    <w:uiPriority w:val="99"/>
    <w:rsid w:val="00FB4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74577"/>
    <w:rPr>
      <w:rFonts w:cs="Times New Roman"/>
      <w:lang w:eastAsia="en-US"/>
    </w:rPr>
  </w:style>
  <w:style w:type="character" w:styleId="Funotenzeichen">
    <w:name w:val="footnote reference"/>
    <w:basedOn w:val="Absatz-Standardschriftart"/>
    <w:uiPriority w:val="99"/>
    <w:semiHidden/>
    <w:rsid w:val="009810A6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775FB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E77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setze-im-internet.de/bundesrecht/altholzv/gesamt.pdf" TargetMode="External"/><Relationship Id="rId2" Type="http://schemas.openxmlformats.org/officeDocument/2006/relationships/hyperlink" Target="http://www.baua.de/de/Themen-von-A-Z/Gefahrstoffe/TRGS/pdf/TRGS-552.pdf?__blob=publicationFile&amp;v=3" TargetMode="External"/><Relationship Id="rId1" Type="http://schemas.openxmlformats.org/officeDocument/2006/relationships/hyperlink" Target="http://echa.europa.eu/chem_data/authorisation_process/candidate_list_table_en.asp" TargetMode="External"/><Relationship Id="rId6" Type="http://schemas.openxmlformats.org/officeDocument/2006/relationships/hyperlink" Target="http://www.umweltbundesamt.de/produkte/bauprodukte/-dokumente/agbb_bewertungsschema_2012.pdf" TargetMode="External"/><Relationship Id="rId5" Type="http://schemas.openxmlformats.org/officeDocument/2006/relationships/hyperlink" Target="http://www.umweltbundesamt.de/produkte/bauprodukte/dokumente/agbb_bewertungsschema_2012.pdf" TargetMode="External"/><Relationship Id="rId4" Type="http://schemas.openxmlformats.org/officeDocument/2006/relationships/hyperlink" Target="http://www.beuth.de/de/norm-entwurf/din-en-643/153888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B381-815E-404D-AC09-E5D71644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Kriterienkatalog für die umweltfreundliche Beschaffung</vt:lpstr>
    </vt:vector>
  </TitlesOfParts>
  <Company>Umweltbundesamt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Kriterienkatalog für die umweltfreundliche Beschaffung</dc:title>
  <dc:creator>kase</dc:creator>
  <cp:lastModifiedBy>kase</cp:lastModifiedBy>
  <cp:revision>6</cp:revision>
  <dcterms:created xsi:type="dcterms:W3CDTF">2012-11-07T13:04:00Z</dcterms:created>
  <dcterms:modified xsi:type="dcterms:W3CDTF">2013-02-19T09:02:00Z</dcterms:modified>
</cp:coreProperties>
</file>