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0E" w:rsidRPr="00695F28" w:rsidRDefault="0092010E" w:rsidP="0092010E">
      <w:pPr>
        <w:jc w:val="left"/>
        <w:rPr>
          <w:rStyle w:val="berschrift1Zchn"/>
        </w:rPr>
      </w:pPr>
      <w:bookmarkStart w:id="0" w:name="_Toc342648002"/>
      <w:bookmarkStart w:id="1" w:name="_Toc380415618"/>
      <w:bookmarkStart w:id="2" w:name="_Toc387832652"/>
      <w:bookmarkStart w:id="3" w:name="_Toc414971568"/>
      <w:bookmarkStart w:id="4" w:name="_Toc387684822"/>
      <w:bookmarkStart w:id="5" w:name="_Toc387687186"/>
      <w:r w:rsidRPr="00695F28">
        <w:rPr>
          <w:rStyle w:val="berschrift1Zchn"/>
        </w:rPr>
        <w:t xml:space="preserve">Anbieterfragebogen zur umweltfreundlichen Beschaffung von </w:t>
      </w:r>
      <w:bookmarkEnd w:id="0"/>
      <w:bookmarkEnd w:id="1"/>
      <w:bookmarkEnd w:id="2"/>
      <w:r>
        <w:rPr>
          <w:rStyle w:val="berschrift1Zchn"/>
        </w:rPr>
        <w:t>Bodenbelägen, Paneelen und Türen aus Holz und Holzwerkstoffen</w:t>
      </w:r>
      <w:bookmarkEnd w:id="3"/>
      <w:r w:rsidR="001C249E">
        <w:rPr>
          <w:rStyle w:val="berschrift1Zchn"/>
        </w:rPr>
        <w:t xml:space="preserve">  für Innenräume</w:t>
      </w:r>
    </w:p>
    <w:p w:rsidR="0092010E" w:rsidRPr="00593988" w:rsidRDefault="0092010E" w:rsidP="0092010E">
      <w:pPr>
        <w:rPr>
          <w:rFonts w:eastAsia="Calibri"/>
        </w:rPr>
      </w:pPr>
      <w:r w:rsidRPr="00593988">
        <w:rPr>
          <w:rFonts w:eastAsia="Calibri"/>
        </w:rPr>
        <w:t xml:space="preserve">(Stand: </w:t>
      </w:r>
      <w:r>
        <w:rPr>
          <w:rFonts w:eastAsia="Calibri"/>
        </w:rPr>
        <w:t>23. März</w:t>
      </w:r>
      <w:r w:rsidRPr="00593988">
        <w:rPr>
          <w:rFonts w:eastAsia="Calibri"/>
        </w:rPr>
        <w:t xml:space="preserve"> 201</w:t>
      </w:r>
      <w:r>
        <w:rPr>
          <w:rFonts w:eastAsia="Calibri"/>
        </w:rPr>
        <w:t>5</w:t>
      </w:r>
      <w:r w:rsidRPr="00593988">
        <w:rPr>
          <w:rFonts w:eastAsia="Calibri"/>
        </w:rPr>
        <w:t>)</w:t>
      </w:r>
      <w:bookmarkEnd w:id="4"/>
      <w:bookmarkEnd w:id="5"/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6656"/>
      </w:tblGrid>
      <w:tr w:rsidR="0092010E" w:rsidRPr="001506C5" w:rsidTr="004070C0">
        <w:trPr>
          <w:trHeight w:val="330"/>
        </w:trPr>
        <w:tc>
          <w:tcPr>
            <w:tcW w:w="2692" w:type="dxa"/>
            <w:shd w:val="clear" w:color="auto" w:fill="CCCCCC"/>
            <w:vAlign w:val="center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t>Produktname</w:t>
            </w:r>
          </w:p>
        </w:tc>
        <w:tc>
          <w:tcPr>
            <w:tcW w:w="6656" w:type="dxa"/>
            <w:shd w:val="clear" w:color="auto" w:fill="FFFFFF"/>
            <w:vAlign w:val="center"/>
          </w:tcPr>
          <w:p w:rsidR="0092010E" w:rsidRPr="001506C5" w:rsidRDefault="0092010E" w:rsidP="004070C0"/>
        </w:tc>
      </w:tr>
      <w:tr w:rsidR="0092010E" w:rsidRPr="001506C5" w:rsidTr="004070C0">
        <w:trPr>
          <w:trHeight w:val="329"/>
        </w:trPr>
        <w:tc>
          <w:tcPr>
            <w:tcW w:w="2692" w:type="dxa"/>
            <w:shd w:val="clear" w:color="auto" w:fill="CCCCCC"/>
            <w:vAlign w:val="center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t>Hersteller</w:t>
            </w:r>
          </w:p>
        </w:tc>
        <w:tc>
          <w:tcPr>
            <w:tcW w:w="6656" w:type="dxa"/>
            <w:shd w:val="clear" w:color="auto" w:fill="FFFFFF"/>
            <w:vAlign w:val="center"/>
          </w:tcPr>
          <w:p w:rsidR="0092010E" w:rsidRPr="001506C5" w:rsidRDefault="0092010E" w:rsidP="004070C0"/>
        </w:tc>
      </w:tr>
      <w:tr w:rsidR="0092010E" w:rsidRPr="001506C5" w:rsidTr="004070C0">
        <w:trPr>
          <w:trHeight w:val="329"/>
        </w:trPr>
        <w:tc>
          <w:tcPr>
            <w:tcW w:w="2692" w:type="dxa"/>
            <w:shd w:val="clear" w:color="auto" w:fill="CCCCCC"/>
            <w:vAlign w:val="center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t xml:space="preserve">Bieter </w:t>
            </w:r>
          </w:p>
        </w:tc>
        <w:tc>
          <w:tcPr>
            <w:tcW w:w="6656" w:type="dxa"/>
            <w:shd w:val="clear" w:color="auto" w:fill="FFFFFF"/>
            <w:vAlign w:val="center"/>
          </w:tcPr>
          <w:p w:rsidR="0092010E" w:rsidRPr="001506C5" w:rsidRDefault="0092010E" w:rsidP="004070C0"/>
        </w:tc>
      </w:tr>
      <w:tr w:rsidR="0092010E" w:rsidRPr="001506C5" w:rsidTr="004070C0">
        <w:trPr>
          <w:trHeight w:val="329"/>
        </w:trPr>
        <w:tc>
          <w:tcPr>
            <w:tcW w:w="2692" w:type="dxa"/>
            <w:shd w:val="clear" w:color="auto" w:fill="CCCCCC"/>
            <w:vAlign w:val="center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t>Anschrift des Bieters</w:t>
            </w:r>
          </w:p>
        </w:tc>
        <w:tc>
          <w:tcPr>
            <w:tcW w:w="6656" w:type="dxa"/>
            <w:shd w:val="clear" w:color="auto" w:fill="FFFFFF"/>
            <w:vAlign w:val="center"/>
          </w:tcPr>
          <w:p w:rsidR="0092010E" w:rsidRPr="001506C5" w:rsidRDefault="0092010E" w:rsidP="004070C0"/>
        </w:tc>
      </w:tr>
    </w:tbl>
    <w:p w:rsidR="0092010E" w:rsidRDefault="0092010E" w:rsidP="0092010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417"/>
      </w:tblGrid>
      <w:tr w:rsidR="0092010E" w:rsidRPr="00733409" w:rsidTr="004070C0">
        <w:trPr>
          <w:trHeight w:val="152"/>
        </w:trPr>
        <w:tc>
          <w:tcPr>
            <w:tcW w:w="9322" w:type="dxa"/>
            <w:gridSpan w:val="2"/>
            <w:shd w:val="clear" w:color="auto" w:fill="CCCCCC"/>
            <w:vAlign w:val="center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t>Umweltzeichen vorhanden?</w:t>
            </w:r>
          </w:p>
        </w:tc>
      </w:tr>
      <w:tr w:rsidR="0092010E" w:rsidRPr="001506C5" w:rsidTr="004070C0">
        <w:trPr>
          <w:trHeight w:val="152"/>
        </w:trPr>
        <w:tc>
          <w:tcPr>
            <w:tcW w:w="7905" w:type="dxa"/>
            <w:shd w:val="clear" w:color="auto" w:fill="FFFFFF"/>
            <w:vAlign w:val="center"/>
          </w:tcPr>
          <w:p w:rsidR="0092010E" w:rsidRPr="00124D30" w:rsidRDefault="0092010E" w:rsidP="004070C0">
            <w:r w:rsidRPr="00124D30">
              <w:t xml:space="preserve">Wenn das angebotene Produkt mit dem Umweltzeichen Blauer Engel für </w:t>
            </w:r>
            <w:r>
              <w:t>Emissionsarme Bodenbeläge, Paneelen und Türen aus Holz und Holzwerkstoffen für Innenräume</w:t>
            </w:r>
            <w:r w:rsidRPr="00124D30">
              <w:t xml:space="preserve"> (</w:t>
            </w:r>
            <w:hyperlink r:id="rId8" w:history="1">
              <w:r w:rsidRPr="00124D30">
                <w:t xml:space="preserve">RAL-UZ </w:t>
              </w:r>
              <w:r>
                <w:t>176</w:t>
              </w:r>
            </w:hyperlink>
            <w:r w:rsidRPr="00124D30">
              <w:t xml:space="preserve">), Ausgabe </w:t>
            </w:r>
            <w:r>
              <w:t>Januar 2013</w:t>
            </w:r>
            <w:r w:rsidRPr="00124D30">
              <w:t xml:space="preserve">, zertifiziert ist, dann gelten die nachfolgenden Kriterien als erfüllt. </w:t>
            </w:r>
            <w:r w:rsidRPr="00402477">
              <w:rPr>
                <w:rFonts w:cs="Arial"/>
                <w:szCs w:val="22"/>
              </w:rPr>
              <w:t xml:space="preserve">In diesem Fall ist der Fragebogen für Kriterium 1 </w:t>
            </w:r>
            <w:r>
              <w:rPr>
                <w:rFonts w:cs="Arial"/>
                <w:szCs w:val="22"/>
              </w:rPr>
              <w:t xml:space="preserve">– Holzherkunft </w:t>
            </w:r>
            <w:r w:rsidRPr="00402477">
              <w:rPr>
                <w:rFonts w:cs="Arial"/>
                <w:szCs w:val="22"/>
              </w:rPr>
              <w:t xml:space="preserve">auszufüllen und der erforderliche Nachweis zu erbringen, dass die Anforderung an die Holzherkunft erfüllt wird. Ein weiteres Ausfüllen des Fragebogens ist </w:t>
            </w:r>
            <w:r w:rsidRPr="00402477">
              <w:rPr>
                <w:rFonts w:cs="Arial"/>
                <w:szCs w:val="22"/>
                <w:u w:val="single"/>
              </w:rPr>
              <w:t>nicht</w:t>
            </w:r>
            <w:r w:rsidRPr="00402477">
              <w:rPr>
                <w:rFonts w:cs="Arial"/>
                <w:szCs w:val="22"/>
              </w:rPr>
              <w:t xml:space="preserve"> erforderlich!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2010E" w:rsidRDefault="00006C03" w:rsidP="004070C0">
            <w:pPr>
              <w:jc w:val="center"/>
            </w:pPr>
            <w:r w:rsidRPr="001506C5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010E" w:rsidRPr="001506C5">
              <w:instrText xml:space="preserve"> FORMCHECKBOX </w:instrText>
            </w:r>
            <w:bookmarkStart w:id="6" w:name="_Toc343846022"/>
            <w:bookmarkStart w:id="7" w:name="_Toc343846044"/>
            <w:bookmarkStart w:id="8" w:name="_Toc380415619"/>
            <w:r>
              <w:fldChar w:fldCharType="separate"/>
            </w:r>
            <w:r w:rsidRPr="001506C5">
              <w:fldChar w:fldCharType="end"/>
            </w:r>
            <w:bookmarkEnd w:id="6"/>
            <w:bookmarkEnd w:id="7"/>
            <w:bookmarkEnd w:id="8"/>
          </w:p>
        </w:tc>
      </w:tr>
    </w:tbl>
    <w:p w:rsidR="0092010E" w:rsidRPr="001506C5" w:rsidRDefault="0092010E" w:rsidP="0092010E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528"/>
        <w:gridCol w:w="1701"/>
        <w:gridCol w:w="1276"/>
      </w:tblGrid>
      <w:tr w:rsidR="0092010E" w:rsidRPr="00733409" w:rsidTr="004070C0">
        <w:trPr>
          <w:trHeight w:val="152"/>
          <w:tblHeader/>
        </w:trPr>
        <w:tc>
          <w:tcPr>
            <w:tcW w:w="817" w:type="dxa"/>
            <w:shd w:val="clear" w:color="auto" w:fill="CCCCCC"/>
            <w:vAlign w:val="center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t>Ziffer</w:t>
            </w:r>
          </w:p>
        </w:tc>
        <w:tc>
          <w:tcPr>
            <w:tcW w:w="5528" w:type="dxa"/>
            <w:shd w:val="clear" w:color="auto" w:fill="CCCCCC"/>
            <w:vAlign w:val="center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t>Kriterium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t>Anmerkung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92010E" w:rsidRPr="00733409" w:rsidRDefault="0092010E" w:rsidP="004070C0">
            <w:pPr>
              <w:rPr>
                <w:rStyle w:val="Fett"/>
              </w:rPr>
            </w:pPr>
            <w:r>
              <w:rPr>
                <w:rStyle w:val="Fett"/>
              </w:rPr>
              <w:t xml:space="preserve">Kriterium erfüllt und </w:t>
            </w:r>
            <w:r w:rsidRPr="00733409">
              <w:rPr>
                <w:rStyle w:val="Fett"/>
              </w:rPr>
              <w:t>Nachweis erbracht</w:t>
            </w:r>
            <w:r w:rsidRPr="00733409">
              <w:rPr>
                <w:rStyle w:val="Funotenzeichen"/>
              </w:rPr>
              <w:footnoteReference w:id="1"/>
            </w:r>
          </w:p>
          <w:p w:rsidR="0092010E" w:rsidRPr="002E7005" w:rsidRDefault="0092010E" w:rsidP="004070C0">
            <w:pPr>
              <w:rPr>
                <w:sz w:val="18"/>
                <w:szCs w:val="18"/>
              </w:rPr>
            </w:pPr>
            <w:r w:rsidRPr="002E7005">
              <w:rPr>
                <w:sz w:val="18"/>
                <w:szCs w:val="18"/>
              </w:rPr>
              <w:t>(vom Bieter auszufüllen)</w:t>
            </w:r>
          </w:p>
        </w:tc>
      </w:tr>
      <w:tr w:rsidR="0092010E" w:rsidRPr="00733409" w:rsidTr="004070C0">
        <w:tc>
          <w:tcPr>
            <w:tcW w:w="817" w:type="dxa"/>
            <w:shd w:val="clear" w:color="auto" w:fill="E6E6E6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t>1</w:t>
            </w:r>
          </w:p>
        </w:tc>
        <w:tc>
          <w:tcPr>
            <w:tcW w:w="5528" w:type="dxa"/>
            <w:shd w:val="clear" w:color="auto" w:fill="E6E6E6"/>
          </w:tcPr>
          <w:p w:rsidR="0092010E" w:rsidRPr="00B95352" w:rsidRDefault="0092010E" w:rsidP="004070C0">
            <w:pPr>
              <w:pStyle w:val="Standardfett"/>
              <w:rPr>
                <w:rStyle w:val="Fett"/>
                <w:b/>
                <w:bCs w:val="0"/>
              </w:rPr>
            </w:pPr>
            <w:r w:rsidRPr="00B95352">
              <w:rPr>
                <w:rStyle w:val="Fett"/>
              </w:rPr>
              <w:t>Anforderungen an das Holz</w:t>
            </w:r>
          </w:p>
        </w:tc>
        <w:tc>
          <w:tcPr>
            <w:tcW w:w="1701" w:type="dxa"/>
            <w:shd w:val="clear" w:color="auto" w:fill="E6E6E6"/>
          </w:tcPr>
          <w:p w:rsidR="0092010E" w:rsidRPr="00733409" w:rsidRDefault="0092010E" w:rsidP="0092010E">
            <w:pPr>
              <w:jc w:val="left"/>
              <w:rPr>
                <w:rStyle w:val="Fett"/>
              </w:rPr>
            </w:pPr>
          </w:p>
        </w:tc>
        <w:tc>
          <w:tcPr>
            <w:tcW w:w="1276" w:type="dxa"/>
            <w:shd w:val="clear" w:color="auto" w:fill="E6E6E6"/>
          </w:tcPr>
          <w:p w:rsidR="0092010E" w:rsidRPr="00733409" w:rsidRDefault="0092010E" w:rsidP="004070C0">
            <w:pPr>
              <w:rPr>
                <w:rStyle w:val="Fett"/>
              </w:rPr>
            </w:pPr>
          </w:p>
        </w:tc>
      </w:tr>
      <w:tr w:rsidR="0092010E" w:rsidRPr="00473CA3" w:rsidTr="004070C0">
        <w:tc>
          <w:tcPr>
            <w:tcW w:w="817" w:type="dxa"/>
          </w:tcPr>
          <w:p w:rsidR="0092010E" w:rsidRPr="00473CA3" w:rsidRDefault="0092010E" w:rsidP="004070C0"/>
        </w:tc>
        <w:tc>
          <w:tcPr>
            <w:tcW w:w="5528" w:type="dxa"/>
          </w:tcPr>
          <w:p w:rsidR="0092010E" w:rsidRDefault="0092010E" w:rsidP="002B0C06">
            <w:pPr>
              <w:pStyle w:val="Standardfett"/>
            </w:pPr>
            <w:r>
              <w:t>Holzherkunft:</w:t>
            </w:r>
          </w:p>
          <w:p w:rsidR="0092010E" w:rsidRPr="00FC2AF7" w:rsidRDefault="0092010E" w:rsidP="002B0C06">
            <w:pPr>
              <w:pStyle w:val="Liste"/>
            </w:pPr>
            <w:r>
              <w:t>Das gesamte verarbeitete Holz stammt aus legalen Quellen.</w:t>
            </w:r>
          </w:p>
          <w:p w:rsidR="0092010E" w:rsidRPr="00473CA3" w:rsidRDefault="0092010E" w:rsidP="002B0C06">
            <w:pPr>
              <w:pStyle w:val="Liste"/>
            </w:pPr>
            <w:r>
              <w:t>100 % des Holzes bzw. 100 % der primären Rohstoffe für Holzwerkstoffe stammen aus nachweisbar nachhaltig bewirtschafteten Wäldern.</w:t>
            </w:r>
          </w:p>
        </w:tc>
        <w:tc>
          <w:tcPr>
            <w:tcW w:w="1701" w:type="dxa"/>
          </w:tcPr>
          <w:p w:rsidR="0092010E" w:rsidRPr="00473CA3" w:rsidRDefault="0092010E" w:rsidP="0092010E">
            <w:pPr>
              <w:jc w:val="left"/>
            </w:pPr>
            <w:r w:rsidRPr="00473CA3">
              <w:t>Ausschluss-kriterium</w:t>
            </w:r>
          </w:p>
          <w:p w:rsidR="0092010E" w:rsidRPr="00473CA3" w:rsidRDefault="0092010E" w:rsidP="0092010E">
            <w:pPr>
              <w:jc w:val="left"/>
            </w:pPr>
            <w:r w:rsidRPr="00A61BF0">
              <w:rPr>
                <w:rFonts w:cs="Arial"/>
                <w:szCs w:val="22"/>
              </w:rPr>
              <w:t>Nachweis durch ein Zertifikat von FSC, PEFC, ein vergleich</w:t>
            </w:r>
            <w:r>
              <w:rPr>
                <w:rFonts w:cs="Arial"/>
                <w:szCs w:val="22"/>
              </w:rPr>
              <w:t>-</w:t>
            </w:r>
            <w:r w:rsidRPr="00A61BF0">
              <w:rPr>
                <w:rFonts w:cs="Arial"/>
                <w:szCs w:val="22"/>
              </w:rPr>
              <w:t>bares Zertifikat oder Einzel</w:t>
            </w:r>
            <w:r>
              <w:rPr>
                <w:rFonts w:cs="Arial"/>
                <w:szCs w:val="22"/>
              </w:rPr>
              <w:t>-</w:t>
            </w:r>
            <w:r w:rsidRPr="00A61BF0">
              <w:rPr>
                <w:rFonts w:cs="Arial"/>
                <w:szCs w:val="22"/>
              </w:rPr>
              <w:t xml:space="preserve">nachweise der Legalität der Holzquellen </w:t>
            </w:r>
            <w:r w:rsidRPr="00A61BF0">
              <w:rPr>
                <w:rFonts w:cs="Arial"/>
                <w:szCs w:val="22"/>
              </w:rPr>
              <w:lastRenderedPageBreak/>
              <w:t>gemäß EU-Verordnung</w:t>
            </w:r>
            <w:r w:rsidRPr="008E5A28">
              <w:rPr>
                <w:rFonts w:ascii="Arial Narrow" w:hAnsi="Arial Narrow"/>
                <w:szCs w:val="22"/>
              </w:rPr>
              <w:t xml:space="preserve"> </w:t>
            </w:r>
            <w:r w:rsidRPr="00A61BF0">
              <w:rPr>
                <w:rFonts w:cs="Arial"/>
                <w:szCs w:val="22"/>
              </w:rPr>
              <w:t>995/2010</w:t>
            </w:r>
            <w:r w:rsidRPr="00A61BF0">
              <w:rPr>
                <w:rStyle w:val="Funotenzeichen"/>
                <w:rFonts w:cs="Arial"/>
              </w:rPr>
              <w:footnoteReference w:id="2"/>
            </w:r>
            <w:r w:rsidRPr="00A61BF0">
              <w:rPr>
                <w:rFonts w:cs="Arial"/>
                <w:szCs w:val="22"/>
              </w:rPr>
              <w:t xml:space="preserve"> und der nach</w:t>
            </w:r>
            <w:r>
              <w:rPr>
                <w:rFonts w:cs="Arial"/>
                <w:szCs w:val="22"/>
              </w:rPr>
              <w:t>-</w:t>
            </w:r>
            <w:r w:rsidRPr="00A61BF0">
              <w:rPr>
                <w:rFonts w:cs="Arial"/>
                <w:szCs w:val="22"/>
              </w:rPr>
              <w:t>haltigen Forst</w:t>
            </w:r>
            <w:r>
              <w:rPr>
                <w:rFonts w:cs="Arial"/>
                <w:szCs w:val="22"/>
              </w:rPr>
              <w:t>-</w:t>
            </w:r>
            <w:r w:rsidRPr="00A61BF0">
              <w:rPr>
                <w:rFonts w:cs="Arial"/>
                <w:szCs w:val="22"/>
              </w:rPr>
              <w:t>wirtschaft. Vergleichbare Zertifikate oder Einzelnachweise werden anerkannt, wenn vom Bieter nachge</w:t>
            </w:r>
            <w:r>
              <w:rPr>
                <w:rFonts w:cs="Arial"/>
                <w:szCs w:val="22"/>
              </w:rPr>
              <w:t>-</w:t>
            </w:r>
            <w:r w:rsidRPr="00A61BF0">
              <w:rPr>
                <w:rFonts w:cs="Arial"/>
                <w:szCs w:val="22"/>
              </w:rPr>
              <w:t>wiesen wird, dass die für das jeweilige Herkunftsland des verwen</w:t>
            </w:r>
            <w:r>
              <w:rPr>
                <w:rFonts w:cs="Arial"/>
                <w:szCs w:val="22"/>
              </w:rPr>
              <w:t>-</w:t>
            </w:r>
            <w:r w:rsidRPr="00A61BF0">
              <w:rPr>
                <w:rFonts w:cs="Arial"/>
                <w:szCs w:val="22"/>
              </w:rPr>
              <w:t>deten Holzes geltenden Kriterien des FSC oder PEFC erfüllt werden.</w:t>
            </w:r>
          </w:p>
        </w:tc>
        <w:tc>
          <w:tcPr>
            <w:tcW w:w="1276" w:type="dxa"/>
            <w:vAlign w:val="center"/>
          </w:tcPr>
          <w:p w:rsidR="0092010E" w:rsidRPr="00473CA3" w:rsidRDefault="00006C03" w:rsidP="004070C0">
            <w:pPr>
              <w:jc w:val="center"/>
            </w:pPr>
            <w:r w:rsidRPr="00473CA3"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010E" w:rsidRPr="00473CA3">
              <w:instrText xml:space="preserve"> FORMCHECKBOX </w:instrText>
            </w:r>
            <w:r>
              <w:fldChar w:fldCharType="separate"/>
            </w:r>
            <w:r w:rsidRPr="00473CA3">
              <w:fldChar w:fldCharType="end"/>
            </w:r>
          </w:p>
        </w:tc>
      </w:tr>
      <w:tr w:rsidR="0092010E" w:rsidRPr="00865E7C" w:rsidTr="004070C0">
        <w:tc>
          <w:tcPr>
            <w:tcW w:w="817" w:type="dxa"/>
            <w:shd w:val="clear" w:color="auto" w:fill="auto"/>
          </w:tcPr>
          <w:p w:rsidR="0092010E" w:rsidRPr="00733409" w:rsidRDefault="0092010E" w:rsidP="004070C0">
            <w:pPr>
              <w:rPr>
                <w:rStyle w:val="Fett"/>
              </w:rPr>
            </w:pPr>
          </w:p>
        </w:tc>
        <w:tc>
          <w:tcPr>
            <w:tcW w:w="5528" w:type="dxa"/>
            <w:shd w:val="clear" w:color="auto" w:fill="auto"/>
          </w:tcPr>
          <w:p w:rsidR="002E7005" w:rsidRDefault="0092010E" w:rsidP="002B0C06">
            <w:pPr>
              <w:pStyle w:val="Liste"/>
              <w:numPr>
                <w:ilvl w:val="0"/>
                <w:numId w:val="0"/>
              </w:numPr>
              <w:rPr>
                <w:rStyle w:val="Fett"/>
              </w:rPr>
            </w:pPr>
            <w:r>
              <w:rPr>
                <w:rStyle w:val="Fett"/>
              </w:rPr>
              <w:t xml:space="preserve">Formaldehyd in Holzwerkstoffen: </w:t>
            </w:r>
          </w:p>
          <w:p w:rsidR="0092010E" w:rsidRPr="00473CA3" w:rsidRDefault="0092010E" w:rsidP="002B0C06">
            <w:pPr>
              <w:pStyle w:val="Liste"/>
              <w:numPr>
                <w:ilvl w:val="0"/>
                <w:numId w:val="0"/>
              </w:numPr>
            </w:pPr>
            <w:r w:rsidRPr="00A82062">
              <w:rPr>
                <w:rFonts w:cs="Meta Serif Offc Book"/>
                <w:color w:val="000000"/>
                <w:szCs w:val="22"/>
              </w:rPr>
              <w:t>Die für die Herstellung der Produkte eingesetzten Holzwerkstoffe sind entweder mit dem Umweltzeichen nach RAL-UZ 76 ausgezeichnet oder überschreiten im Rohzustand, das heißt vor einer Bearbeitung oder Beschichtung, eine Ausgleichskonzentration für Formaldehyd von 0,1 ppm im Prüfraum nicht.</w:t>
            </w:r>
          </w:p>
          <w:p w:rsidR="0092010E" w:rsidRPr="00B95352" w:rsidRDefault="0092010E" w:rsidP="004070C0">
            <w:pPr>
              <w:pStyle w:val="Liste"/>
              <w:numPr>
                <w:ilvl w:val="0"/>
                <w:numId w:val="0"/>
              </w:numPr>
              <w:rPr>
                <w:rStyle w:val="Fett"/>
                <w:b w:val="0"/>
                <w:bCs w:val="0"/>
              </w:rPr>
            </w:pPr>
          </w:p>
        </w:tc>
        <w:tc>
          <w:tcPr>
            <w:tcW w:w="1701" w:type="dxa"/>
            <w:shd w:val="clear" w:color="auto" w:fill="auto"/>
          </w:tcPr>
          <w:p w:rsidR="0092010E" w:rsidRDefault="0092010E" w:rsidP="0092010E">
            <w:pPr>
              <w:jc w:val="left"/>
            </w:pPr>
            <w:r>
              <w:t>Ausschluss-kriterium</w:t>
            </w:r>
          </w:p>
          <w:p w:rsidR="0092010E" w:rsidRPr="00865E7C" w:rsidRDefault="0092010E" w:rsidP="002B0C06">
            <w:pPr>
              <w:jc w:val="left"/>
            </w:pPr>
            <w:r>
              <w:t xml:space="preserve">Nachweis durch </w:t>
            </w:r>
            <w:r w:rsidRPr="00A31BF8">
              <w:rPr>
                <w:rFonts w:cs="Meta Serif Offc"/>
                <w:bCs/>
                <w:color w:val="000000"/>
                <w:szCs w:val="22"/>
              </w:rPr>
              <w:t>Zertifi</w:t>
            </w:r>
            <w:r>
              <w:rPr>
                <w:rFonts w:cs="Meta Serif Offc"/>
                <w:bCs/>
                <w:color w:val="000000"/>
                <w:szCs w:val="22"/>
              </w:rPr>
              <w:t>-</w:t>
            </w:r>
            <w:r w:rsidRPr="00A31BF8">
              <w:rPr>
                <w:rFonts w:cs="Meta Serif Offc"/>
                <w:bCs/>
                <w:color w:val="000000"/>
                <w:szCs w:val="22"/>
              </w:rPr>
              <w:t>zierung der eingesetzten Holzwerkstoffe mit dem Blauen Engel (RAL-UZ 76); bei Holzwerk</w:t>
            </w:r>
            <w:r>
              <w:rPr>
                <w:rFonts w:cs="Meta Serif Offc"/>
                <w:bCs/>
                <w:color w:val="000000"/>
                <w:szCs w:val="22"/>
              </w:rPr>
              <w:t>-</w:t>
            </w:r>
            <w:r w:rsidRPr="00A31BF8">
              <w:rPr>
                <w:rFonts w:cs="Meta Serif Offc"/>
                <w:bCs/>
                <w:color w:val="000000"/>
                <w:szCs w:val="22"/>
              </w:rPr>
              <w:t>stoffen, die nicht mit dem RAL-UZ 76 ausgezeichnet sind, Vorlage eines Prüfgut</w:t>
            </w:r>
            <w:r w:rsidRPr="00A31BF8">
              <w:rPr>
                <w:rFonts w:cs="Meta Serif Offc"/>
                <w:bCs/>
                <w:color w:val="000000"/>
                <w:szCs w:val="22"/>
              </w:rPr>
              <w:softHyphen/>
              <w:t xml:space="preserve">achtens gemäß dem Prüfverfahren </w:t>
            </w:r>
            <w:r w:rsidRPr="00A31BF8">
              <w:rPr>
                <w:rFonts w:cs="Meta Serif Offc"/>
                <w:bCs/>
                <w:color w:val="000000"/>
                <w:szCs w:val="22"/>
              </w:rPr>
              <w:lastRenderedPageBreak/>
              <w:t>für Holzwerk</w:t>
            </w:r>
            <w:r>
              <w:rPr>
                <w:rFonts w:cs="Meta Serif Offc"/>
                <w:bCs/>
                <w:color w:val="000000"/>
                <w:szCs w:val="22"/>
              </w:rPr>
              <w:t>-</w:t>
            </w:r>
            <w:r w:rsidRPr="00A31BF8">
              <w:rPr>
                <w:rFonts w:cs="Meta Serif Offc"/>
                <w:bCs/>
                <w:color w:val="000000"/>
                <w:szCs w:val="22"/>
              </w:rPr>
              <w:t>stoffe; alterna</w:t>
            </w:r>
            <w:r>
              <w:rPr>
                <w:rFonts w:cs="Meta Serif Offc"/>
                <w:bCs/>
                <w:color w:val="000000"/>
                <w:szCs w:val="22"/>
              </w:rPr>
              <w:t>-</w:t>
            </w:r>
            <w:r w:rsidRPr="00A31BF8">
              <w:rPr>
                <w:rFonts w:cs="Meta Serif Offc"/>
                <w:bCs/>
                <w:color w:val="000000"/>
                <w:szCs w:val="22"/>
              </w:rPr>
              <w:t>tiv Vorlage eines Prüf</w:t>
            </w:r>
            <w:r>
              <w:rPr>
                <w:rFonts w:cs="Meta Serif Offc"/>
                <w:bCs/>
                <w:color w:val="000000"/>
                <w:szCs w:val="22"/>
              </w:rPr>
              <w:t>-</w:t>
            </w:r>
            <w:r w:rsidRPr="00A31BF8">
              <w:rPr>
                <w:rFonts w:cs="Meta Serif Offc"/>
                <w:bCs/>
                <w:color w:val="000000"/>
                <w:szCs w:val="22"/>
              </w:rPr>
              <w:t>zeugnisses mit Bestätigung der Klassifizie</w:t>
            </w:r>
            <w:r>
              <w:rPr>
                <w:rFonts w:cs="Meta Serif Offc"/>
                <w:bCs/>
                <w:color w:val="000000"/>
                <w:szCs w:val="22"/>
              </w:rPr>
              <w:t>-</w:t>
            </w:r>
            <w:r w:rsidRPr="00A31BF8">
              <w:rPr>
                <w:rFonts w:cs="Meta Serif Offc"/>
                <w:bCs/>
                <w:color w:val="000000"/>
                <w:szCs w:val="22"/>
              </w:rPr>
              <w:t>rung in der Emissionsklas</w:t>
            </w:r>
            <w:r>
              <w:rPr>
                <w:rFonts w:cs="Meta Serif Offc"/>
                <w:bCs/>
                <w:color w:val="000000"/>
                <w:szCs w:val="22"/>
              </w:rPr>
              <w:t>-</w:t>
            </w:r>
            <w:r w:rsidRPr="00A31BF8">
              <w:rPr>
                <w:rFonts w:cs="Meta Serif Offc"/>
                <w:bCs/>
                <w:color w:val="000000"/>
                <w:szCs w:val="22"/>
              </w:rPr>
              <w:t>se E1</w:t>
            </w:r>
            <w:r>
              <w:rPr>
                <w:rFonts w:cs="Meta Serif Offc"/>
                <w:bCs/>
                <w:color w:val="000000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010E" w:rsidRPr="00865E7C" w:rsidRDefault="00006C03" w:rsidP="004070C0">
            <w:pPr>
              <w:jc w:val="center"/>
            </w:pPr>
            <w:r w:rsidRPr="00473CA3"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010E" w:rsidRPr="00473CA3">
              <w:instrText xml:space="preserve"> FORMCHECKBOX </w:instrText>
            </w:r>
            <w:r>
              <w:fldChar w:fldCharType="separate"/>
            </w:r>
            <w:r w:rsidRPr="00473CA3">
              <w:fldChar w:fldCharType="end"/>
            </w:r>
          </w:p>
        </w:tc>
      </w:tr>
      <w:tr w:rsidR="0092010E" w:rsidRPr="00865E7C" w:rsidTr="004070C0">
        <w:tc>
          <w:tcPr>
            <w:tcW w:w="817" w:type="dxa"/>
            <w:shd w:val="clear" w:color="auto" w:fill="E6E6E6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lastRenderedPageBreak/>
              <w:t>2</w:t>
            </w:r>
          </w:p>
        </w:tc>
        <w:tc>
          <w:tcPr>
            <w:tcW w:w="5528" w:type="dxa"/>
            <w:shd w:val="clear" w:color="auto" w:fill="E6E6E6"/>
          </w:tcPr>
          <w:p w:rsidR="0092010E" w:rsidRPr="00733409" w:rsidRDefault="0092010E" w:rsidP="002B0C06">
            <w:pPr>
              <w:rPr>
                <w:rStyle w:val="Fett"/>
              </w:rPr>
            </w:pPr>
            <w:r>
              <w:rPr>
                <w:rStyle w:val="Fett"/>
              </w:rPr>
              <w:t>Anforderungen an die Beschichtung</w:t>
            </w:r>
          </w:p>
        </w:tc>
        <w:tc>
          <w:tcPr>
            <w:tcW w:w="1701" w:type="dxa"/>
            <w:shd w:val="clear" w:color="auto" w:fill="E6E6E6"/>
          </w:tcPr>
          <w:p w:rsidR="0092010E" w:rsidRPr="00865E7C" w:rsidRDefault="0092010E" w:rsidP="004070C0">
            <w:pPr>
              <w:pStyle w:val="Standardfett"/>
            </w:pPr>
          </w:p>
        </w:tc>
        <w:tc>
          <w:tcPr>
            <w:tcW w:w="1276" w:type="dxa"/>
            <w:shd w:val="clear" w:color="auto" w:fill="E6E6E6"/>
          </w:tcPr>
          <w:p w:rsidR="0092010E" w:rsidRPr="00865E7C" w:rsidRDefault="0092010E" w:rsidP="004070C0">
            <w:pPr>
              <w:pStyle w:val="Standardfett"/>
            </w:pPr>
          </w:p>
        </w:tc>
      </w:tr>
      <w:tr w:rsidR="0092010E" w:rsidRPr="00473CA3" w:rsidTr="004070C0">
        <w:tc>
          <w:tcPr>
            <w:tcW w:w="817" w:type="dxa"/>
          </w:tcPr>
          <w:p w:rsidR="0092010E" w:rsidRPr="00473CA3" w:rsidRDefault="0092010E" w:rsidP="004070C0"/>
        </w:tc>
        <w:tc>
          <w:tcPr>
            <w:tcW w:w="5528" w:type="dxa"/>
          </w:tcPr>
          <w:p w:rsidR="0092010E" w:rsidRDefault="0092010E" w:rsidP="002B0C06">
            <w:pPr>
              <w:pStyle w:val="Standardfett"/>
            </w:pPr>
            <w:r>
              <w:t>Allgemeine Anforderungen:</w:t>
            </w:r>
          </w:p>
          <w:p w:rsidR="0092010E" w:rsidRPr="00D1637E" w:rsidRDefault="0092010E" w:rsidP="002B0C06">
            <w:pPr>
              <w:jc w:val="left"/>
            </w:pPr>
            <w:r>
              <w:t>Den Beschichtungen sind</w:t>
            </w:r>
            <w:r w:rsidRPr="00D1637E">
              <w:t xml:space="preserve"> als konstitutionelle Bestandt</w:t>
            </w:r>
            <w:r>
              <w:t>eile keine Stoffe zugesetzt</w:t>
            </w:r>
            <w:r w:rsidRPr="00D1637E">
              <w:t xml:space="preserve">, die eingestuft sind als </w:t>
            </w:r>
          </w:p>
          <w:p w:rsidR="0092010E" w:rsidRPr="00166FC7" w:rsidRDefault="0092010E" w:rsidP="002B0C06">
            <w:pPr>
              <w:pStyle w:val="Liste"/>
            </w:pPr>
            <w:r w:rsidRPr="00166FC7">
              <w:t xml:space="preserve">krebserzeugend der Kategorien </w:t>
            </w:r>
            <w:r>
              <w:t xml:space="preserve">1 oder 2 nach Tabelle 3.2 bzw. Kategorien </w:t>
            </w:r>
            <w:r w:rsidRPr="00166FC7">
              <w:t>1A und 1B nach Tabelle 3.1 des Anhangs VI der EG-Verordnung 1272/2008,</w:t>
            </w:r>
          </w:p>
          <w:p w:rsidR="0092010E" w:rsidRPr="00166FC7" w:rsidRDefault="0092010E" w:rsidP="002B0C06">
            <w:pPr>
              <w:pStyle w:val="Liste"/>
            </w:pPr>
            <w:r w:rsidRPr="00166FC7">
              <w:t xml:space="preserve">erbgutverändernd der Kategorien </w:t>
            </w:r>
            <w:r>
              <w:t xml:space="preserve">1 oder 2 nach Tabelle 3.2 bzw. Kategorien </w:t>
            </w:r>
            <w:r w:rsidRPr="00166FC7">
              <w:t>1A und 1B nach Tabelle 3.1 des Anhangs VI der EG-Verordnung 1272/2008,</w:t>
            </w:r>
          </w:p>
          <w:p w:rsidR="0092010E" w:rsidRPr="00166FC7" w:rsidRDefault="0092010E" w:rsidP="002B0C06">
            <w:pPr>
              <w:pStyle w:val="Liste"/>
              <w:ind w:left="714" w:hanging="357"/>
            </w:pPr>
            <w:r w:rsidRPr="00166FC7">
              <w:t xml:space="preserve">fortpflanzungsgefährdend der </w:t>
            </w:r>
            <w:r>
              <w:t xml:space="preserve">Kategorien 1 oder 2 nach Tabelle 3.2 bzw. </w:t>
            </w:r>
            <w:r w:rsidRPr="00166FC7">
              <w:t>Kategorien 1A und 1B nach Tabelle 3.1 des Anhangs VI der EG-Verordnung 1272/2008</w:t>
            </w:r>
            <w:r w:rsidR="002E7005">
              <w:t>,</w:t>
            </w:r>
          </w:p>
          <w:p w:rsidR="0092010E" w:rsidRDefault="0092010E" w:rsidP="002B0C06">
            <w:pPr>
              <w:pStyle w:val="Liste"/>
            </w:pPr>
            <w:r w:rsidRPr="00166FC7">
              <w:t>besonders besorgniserregend aus anderen Gründen nach den Kriterien des Anhang XIII der REACH-Verordnung, insofern sie in die gemäß REACH Artikel 59 Absatz 1 erstellte Liste (sog. Kandidatenliste) aufgenommen wurden.</w:t>
            </w:r>
          </w:p>
          <w:p w:rsidR="0092010E" w:rsidRPr="00D1637E" w:rsidRDefault="0092010E" w:rsidP="002B0C06">
            <w:pPr>
              <w:jc w:val="left"/>
            </w:pPr>
            <w:r w:rsidRPr="00D1637E">
              <w:t>Von dieser Regelung ausgenommen sind:</w:t>
            </w:r>
          </w:p>
          <w:p w:rsidR="0092010E" w:rsidRDefault="0092010E" w:rsidP="002B0C06">
            <w:pPr>
              <w:pStyle w:val="Liste"/>
            </w:pPr>
            <w:r w:rsidRPr="00473CA3">
              <w:t>prozessbedingte, technisch unvermeidbare Verunreinigungen</w:t>
            </w:r>
            <w:r w:rsidR="002E7005">
              <w:t>,</w:t>
            </w:r>
          </w:p>
          <w:p w:rsidR="0092010E" w:rsidRPr="002E7005" w:rsidRDefault="0092010E" w:rsidP="002B0C06">
            <w:pPr>
              <w:pStyle w:val="Liste"/>
            </w:pPr>
            <w:r w:rsidRPr="00EB30D7">
              <w:t>Monomere oder Additive, die bei der Kunststoffher</w:t>
            </w:r>
            <w:r w:rsidRPr="00EB30D7">
              <w:rPr>
                <w:rFonts w:cs="Arial"/>
              </w:rPr>
              <w:t>stellung zu Polymeren reagieren oder chemisch fest in den Kunststoff ein</w:t>
            </w:r>
            <w:r>
              <w:rPr>
                <w:rFonts w:cs="Arial"/>
              </w:rPr>
              <w:t>gebunden werden.</w:t>
            </w:r>
          </w:p>
          <w:p w:rsidR="002E7005" w:rsidRDefault="002E7005" w:rsidP="002B0C06">
            <w:pPr>
              <w:pStyle w:val="Liste"/>
              <w:numPr>
                <w:ilvl w:val="0"/>
                <w:numId w:val="0"/>
              </w:numPr>
              <w:ind w:left="720"/>
            </w:pPr>
          </w:p>
        </w:tc>
        <w:tc>
          <w:tcPr>
            <w:tcW w:w="1701" w:type="dxa"/>
          </w:tcPr>
          <w:p w:rsidR="0092010E" w:rsidRDefault="0092010E" w:rsidP="0092010E">
            <w:pPr>
              <w:jc w:val="left"/>
            </w:pPr>
            <w:r w:rsidRPr="00473CA3">
              <w:t>Ausschluss-kriterium</w:t>
            </w:r>
          </w:p>
          <w:p w:rsidR="0092010E" w:rsidRPr="00473CA3" w:rsidRDefault="0092010E" w:rsidP="0092010E">
            <w:pPr>
              <w:jc w:val="left"/>
            </w:pPr>
            <w:r w:rsidRPr="00473CA3">
              <w:t xml:space="preserve">Nachweis </w:t>
            </w:r>
            <w:r>
              <w:t xml:space="preserve">durch </w:t>
            </w:r>
            <w:r w:rsidRPr="00473CA3">
              <w:t>Hersteller</w:t>
            </w:r>
            <w:r>
              <w:t>-</w:t>
            </w:r>
            <w:r w:rsidRPr="00473CA3">
              <w:t>erklärung</w:t>
            </w:r>
            <w:r>
              <w:t>, Technische Merkblätter, Sicherheits</w:t>
            </w:r>
            <w:r w:rsidR="002E7005">
              <w:t>-</w:t>
            </w:r>
            <w:r>
              <w:t>datenblätter</w:t>
            </w:r>
          </w:p>
        </w:tc>
        <w:tc>
          <w:tcPr>
            <w:tcW w:w="1276" w:type="dxa"/>
            <w:vAlign w:val="center"/>
          </w:tcPr>
          <w:p w:rsidR="0092010E" w:rsidRPr="00473CA3" w:rsidRDefault="00006C03" w:rsidP="004070C0">
            <w:pPr>
              <w:jc w:val="center"/>
            </w:pPr>
            <w:r w:rsidRPr="00473CA3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010E" w:rsidRPr="00473CA3">
              <w:instrText xml:space="preserve"> FORMCHECKBOX </w:instrText>
            </w:r>
            <w:r>
              <w:fldChar w:fldCharType="separate"/>
            </w:r>
            <w:r w:rsidRPr="00473CA3">
              <w:fldChar w:fldCharType="end"/>
            </w:r>
          </w:p>
        </w:tc>
      </w:tr>
      <w:tr w:rsidR="0092010E" w:rsidRPr="00473CA3" w:rsidTr="004070C0">
        <w:tc>
          <w:tcPr>
            <w:tcW w:w="817" w:type="dxa"/>
          </w:tcPr>
          <w:p w:rsidR="0092010E" w:rsidRPr="00473CA3" w:rsidRDefault="0092010E" w:rsidP="004070C0"/>
        </w:tc>
        <w:tc>
          <w:tcPr>
            <w:tcW w:w="5528" w:type="dxa"/>
          </w:tcPr>
          <w:p w:rsidR="002E7005" w:rsidRDefault="0092010E" w:rsidP="002B0C06">
            <w:pPr>
              <w:pStyle w:val="Standardeinzug"/>
              <w:ind w:left="0"/>
              <w:jc w:val="left"/>
            </w:pPr>
            <w:r w:rsidRPr="00DF0140">
              <w:rPr>
                <w:b/>
              </w:rPr>
              <w:t>Emissionen der Beschichtungssysteme</w:t>
            </w:r>
            <w:r w:rsidRPr="00DF0140">
              <w:t>:</w:t>
            </w:r>
          </w:p>
          <w:p w:rsidR="0092010E" w:rsidRPr="00250F94" w:rsidRDefault="0092010E" w:rsidP="002B0C06">
            <w:pPr>
              <w:pStyle w:val="Standardeinzug"/>
              <w:ind w:left="0"/>
              <w:jc w:val="left"/>
            </w:pPr>
            <w:r w:rsidRPr="00675043">
              <w:rPr>
                <w:rFonts w:eastAsia="Calibri" w:cs="Arial"/>
                <w:color w:val="000000"/>
                <w:szCs w:val="22"/>
              </w:rPr>
              <w:t xml:space="preserve">Emissionen </w:t>
            </w:r>
            <w:r>
              <w:rPr>
                <w:rFonts w:eastAsia="Calibri" w:cs="Arial"/>
                <w:color w:val="000000"/>
                <w:szCs w:val="22"/>
              </w:rPr>
              <w:t>vo</w:t>
            </w:r>
            <w:r w:rsidRPr="00675043">
              <w:rPr>
                <w:rFonts w:eastAsia="Calibri" w:cs="Arial"/>
                <w:color w:val="000000"/>
                <w:szCs w:val="22"/>
              </w:rPr>
              <w:t>n flüchtigen organischen Verbindungen durch den Betrieb von Anlagen zum Beschichten der Produkte werden vom Betreiber dieser Anlagen nach den Anforderungen der 31. BImSchV (Lösemittel- oder VOC-Verordnung) oder der europäischen VOC-Richtlinie durch den Einsatz emissionsarmer Beschichtungssysteme oder den Einsatz von Einrichtungen zur Abgasreinigung begrenzt.</w:t>
            </w:r>
          </w:p>
        </w:tc>
        <w:tc>
          <w:tcPr>
            <w:tcW w:w="1701" w:type="dxa"/>
          </w:tcPr>
          <w:p w:rsidR="0092010E" w:rsidRPr="00B156B8" w:rsidRDefault="0092010E" w:rsidP="0092010E">
            <w:pPr>
              <w:jc w:val="left"/>
            </w:pPr>
            <w:r>
              <w:t>Ausschluss-k</w:t>
            </w:r>
            <w:r w:rsidRPr="00B156B8">
              <w:t>riterium</w:t>
            </w:r>
          </w:p>
          <w:p w:rsidR="0092010E" w:rsidRDefault="0092010E" w:rsidP="002B0C06">
            <w:pPr>
              <w:jc w:val="left"/>
            </w:pPr>
            <w:r w:rsidRPr="00B156B8">
              <w:t>Nachweis</w:t>
            </w:r>
            <w:r>
              <w:t xml:space="preserve"> durch Hersteller-erklärung</w:t>
            </w:r>
          </w:p>
          <w:p w:rsidR="0092010E" w:rsidRPr="00473CA3" w:rsidRDefault="0092010E" w:rsidP="004070C0"/>
        </w:tc>
        <w:tc>
          <w:tcPr>
            <w:tcW w:w="1276" w:type="dxa"/>
            <w:vAlign w:val="center"/>
          </w:tcPr>
          <w:p w:rsidR="0092010E" w:rsidRPr="00473CA3" w:rsidRDefault="00006C03" w:rsidP="004070C0">
            <w:pPr>
              <w:jc w:val="center"/>
            </w:pPr>
            <w:r w:rsidRPr="00473CA3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70C0" w:rsidRPr="00473CA3">
              <w:instrText xml:space="preserve"> FORMCHECKBOX </w:instrText>
            </w:r>
            <w:r>
              <w:fldChar w:fldCharType="separate"/>
            </w:r>
            <w:r w:rsidRPr="00473CA3">
              <w:fldChar w:fldCharType="end"/>
            </w:r>
          </w:p>
        </w:tc>
      </w:tr>
      <w:tr w:rsidR="0092010E" w:rsidRPr="00865E7C" w:rsidTr="004070C0">
        <w:tc>
          <w:tcPr>
            <w:tcW w:w="817" w:type="dxa"/>
            <w:shd w:val="clear" w:color="auto" w:fill="E6E6E6"/>
          </w:tcPr>
          <w:p w:rsidR="0092010E" w:rsidRPr="00733409" w:rsidRDefault="0092010E" w:rsidP="004070C0">
            <w:pPr>
              <w:rPr>
                <w:rStyle w:val="Fett"/>
              </w:rPr>
            </w:pPr>
            <w:r w:rsidRPr="00733409">
              <w:rPr>
                <w:rStyle w:val="Fett"/>
              </w:rPr>
              <w:t>3</w:t>
            </w:r>
          </w:p>
        </w:tc>
        <w:tc>
          <w:tcPr>
            <w:tcW w:w="5528" w:type="dxa"/>
            <w:shd w:val="clear" w:color="auto" w:fill="E6E6E6"/>
          </w:tcPr>
          <w:p w:rsidR="0092010E" w:rsidRPr="00733409" w:rsidRDefault="0092010E" w:rsidP="004070C0">
            <w:pPr>
              <w:rPr>
                <w:rStyle w:val="Fett"/>
              </w:rPr>
            </w:pPr>
            <w:r>
              <w:rPr>
                <w:rStyle w:val="Fett"/>
              </w:rPr>
              <w:t>Nutzung der Produkte</w:t>
            </w:r>
          </w:p>
        </w:tc>
        <w:tc>
          <w:tcPr>
            <w:tcW w:w="1701" w:type="dxa"/>
            <w:shd w:val="clear" w:color="auto" w:fill="E6E6E6"/>
          </w:tcPr>
          <w:p w:rsidR="0092010E" w:rsidRPr="00865E7C" w:rsidRDefault="0092010E" w:rsidP="004070C0">
            <w:pPr>
              <w:pStyle w:val="Standardfett"/>
            </w:pPr>
          </w:p>
        </w:tc>
        <w:tc>
          <w:tcPr>
            <w:tcW w:w="1276" w:type="dxa"/>
            <w:shd w:val="clear" w:color="auto" w:fill="E6E6E6"/>
          </w:tcPr>
          <w:p w:rsidR="0092010E" w:rsidRPr="00865E7C" w:rsidRDefault="0092010E" w:rsidP="004070C0">
            <w:pPr>
              <w:pStyle w:val="Standardfett"/>
            </w:pPr>
          </w:p>
        </w:tc>
      </w:tr>
      <w:tr w:rsidR="0092010E" w:rsidRPr="00F567BE" w:rsidTr="004070C0">
        <w:tc>
          <w:tcPr>
            <w:tcW w:w="817" w:type="dxa"/>
          </w:tcPr>
          <w:p w:rsidR="0092010E" w:rsidRPr="00865E7C" w:rsidRDefault="0092010E" w:rsidP="004070C0"/>
        </w:tc>
        <w:tc>
          <w:tcPr>
            <w:tcW w:w="5528" w:type="dxa"/>
          </w:tcPr>
          <w:p w:rsidR="0092010E" w:rsidRDefault="0092010E" w:rsidP="002B0C06">
            <w:pPr>
              <w:pStyle w:val="Standardfett"/>
            </w:pPr>
            <w:r>
              <w:t xml:space="preserve">Innenraumluftqualität: </w:t>
            </w:r>
          </w:p>
          <w:p w:rsidR="0092010E" w:rsidRDefault="0092010E" w:rsidP="002B0C06">
            <w:pPr>
              <w:jc w:val="left"/>
            </w:pPr>
            <w:r>
              <w:t>Die Produkte überschreiten nicht die in der Tabelle genannten Emissionswerte.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90"/>
              <w:gridCol w:w="1412"/>
              <w:gridCol w:w="1843"/>
            </w:tblGrid>
            <w:tr w:rsidR="0092010E" w:rsidTr="004070C0">
              <w:tc>
                <w:tcPr>
                  <w:tcW w:w="1990" w:type="dxa"/>
                  <w:shd w:val="clear" w:color="auto" w:fill="auto"/>
                </w:tcPr>
                <w:p w:rsidR="0092010E" w:rsidRDefault="0092010E" w:rsidP="002E7005">
                  <w:pPr>
                    <w:pStyle w:val="Standardkursiv"/>
                    <w:spacing w:line="240" w:lineRule="atLeast"/>
                    <w:jc w:val="left"/>
                  </w:pPr>
                  <w:r>
                    <w:t>Verbindung oder Substanz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:rsidR="0092010E" w:rsidRDefault="0092010E" w:rsidP="002E7005">
                  <w:pPr>
                    <w:pStyle w:val="Standardkursiv"/>
                    <w:spacing w:line="240" w:lineRule="atLeast"/>
                    <w:jc w:val="left"/>
                  </w:pPr>
                  <w:r>
                    <w:t>3. Tag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2010E" w:rsidRDefault="0092010E" w:rsidP="002E7005">
                  <w:pPr>
                    <w:pStyle w:val="Standardkursiv"/>
                    <w:spacing w:line="240" w:lineRule="atLeast"/>
                    <w:jc w:val="left"/>
                  </w:pPr>
                  <w:r>
                    <w:t>Endwert (28. Tag)</w:t>
                  </w:r>
                </w:p>
              </w:tc>
            </w:tr>
            <w:tr w:rsidR="0092010E" w:rsidTr="004070C0">
              <w:tc>
                <w:tcPr>
                  <w:tcW w:w="1990" w:type="dxa"/>
                  <w:shd w:val="clear" w:color="auto" w:fill="auto"/>
                </w:tcPr>
                <w:p w:rsidR="0092010E" w:rsidRPr="00D74F7D" w:rsidRDefault="0092010E" w:rsidP="002B0C06">
                  <w:pPr>
                    <w:spacing w:before="0" w:after="0" w:line="240" w:lineRule="atLeast"/>
                    <w:jc w:val="left"/>
                    <w:rPr>
                      <w:rFonts w:cs="Arial"/>
                      <w:sz w:val="26"/>
                      <w:szCs w:val="26"/>
                    </w:rPr>
                  </w:pPr>
                  <w:r w:rsidRPr="00D74F7D">
                    <w:rPr>
                      <w:rFonts w:cs="Arial"/>
                      <w:szCs w:val="22"/>
                    </w:rPr>
                    <w:t>Summe der organischen Verbindungen im Retentionsbe</w:t>
                  </w:r>
                  <w:r w:rsidRPr="001261DA">
                    <w:rPr>
                      <w:rFonts w:cs="Arial"/>
                      <w:szCs w:val="22"/>
                    </w:rPr>
                    <w:t>reich C</w:t>
                  </w:r>
                  <w:r w:rsidRPr="00D74F7D">
                    <w:rPr>
                      <w:rFonts w:cs="Arial"/>
                      <w:szCs w:val="22"/>
                      <w:vertAlign w:val="subscript"/>
                    </w:rPr>
                    <w:t>6</w:t>
                  </w:r>
                  <w:r w:rsidRPr="00D74F7D">
                    <w:rPr>
                      <w:rFonts w:cs="Arial"/>
                      <w:szCs w:val="22"/>
                    </w:rPr>
                    <w:t xml:space="preserve"> </w:t>
                  </w:r>
                  <w:r w:rsidRPr="001261DA">
                    <w:rPr>
                      <w:rFonts w:cs="Arial"/>
                      <w:szCs w:val="22"/>
                    </w:rPr>
                    <w:t>– C</w:t>
                  </w:r>
                  <w:r w:rsidRPr="001261DA">
                    <w:rPr>
                      <w:rFonts w:cs="Arial"/>
                      <w:szCs w:val="22"/>
                      <w:vertAlign w:val="subscript"/>
                    </w:rPr>
                    <w:t>16</w:t>
                  </w:r>
                  <w:r w:rsidR="002B0C06">
                    <w:rPr>
                      <w:rFonts w:cs="Arial"/>
                      <w:szCs w:val="22"/>
                      <w:vertAlign w:val="subscript"/>
                    </w:rPr>
                    <w:t xml:space="preserve"> </w:t>
                  </w:r>
                  <w:r w:rsidRPr="001261DA">
                    <w:rPr>
                      <w:rFonts w:cs="Arial"/>
                      <w:szCs w:val="22"/>
                    </w:rPr>
                    <w:t>(TVOC)</w:t>
                  </w:r>
                  <w:r w:rsidRPr="001261DA">
                    <w:rPr>
                      <w:rFonts w:cs="Arial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 w:rsidRPr="00D74F7D">
                    <w:rPr>
                      <w:rFonts w:cs="Arial"/>
                    </w:rPr>
                    <w:t>≤</w:t>
                  </w:r>
                  <w:r>
                    <w:t xml:space="preserve"> 3 mg/m³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 w:rsidRPr="00D74F7D">
                    <w:rPr>
                      <w:rFonts w:cs="Arial"/>
                    </w:rPr>
                    <w:t>≤</w:t>
                  </w:r>
                  <w:r>
                    <w:t xml:space="preserve"> 0,3 mg/m³</w:t>
                  </w:r>
                </w:p>
              </w:tc>
            </w:tr>
            <w:tr w:rsidR="0092010E" w:rsidTr="004070C0">
              <w:tc>
                <w:tcPr>
                  <w:tcW w:w="1990" w:type="dxa"/>
                  <w:shd w:val="clear" w:color="auto" w:fill="auto"/>
                </w:tcPr>
                <w:p w:rsidR="0092010E" w:rsidRPr="00D74F7D" w:rsidRDefault="0092010E" w:rsidP="002E7005">
                  <w:pPr>
                    <w:spacing w:before="0" w:after="0" w:line="240" w:lineRule="atLeast"/>
                    <w:jc w:val="left"/>
                    <w:rPr>
                      <w:rFonts w:cs="Arial"/>
                      <w:sz w:val="26"/>
                      <w:szCs w:val="26"/>
                    </w:rPr>
                  </w:pPr>
                  <w:r w:rsidRPr="00D74F7D">
                    <w:rPr>
                      <w:rFonts w:cs="Arial"/>
                      <w:szCs w:val="22"/>
                    </w:rPr>
                    <w:t>Summe der organischen Ver</w:t>
                  </w:r>
                  <w:r w:rsidRPr="001261DA">
                    <w:rPr>
                      <w:rFonts w:cs="Arial"/>
                      <w:szCs w:val="22"/>
                    </w:rPr>
                    <w:t xml:space="preserve">bindungen im </w:t>
                  </w:r>
                  <w:r w:rsidRPr="00D74F7D">
                    <w:rPr>
                      <w:rFonts w:cs="Arial"/>
                      <w:szCs w:val="22"/>
                    </w:rPr>
                    <w:t>Retentionsbe</w:t>
                  </w:r>
                  <w:r w:rsidRPr="001261DA">
                    <w:rPr>
                      <w:rFonts w:cs="Arial"/>
                      <w:szCs w:val="22"/>
                    </w:rPr>
                    <w:t>reich &gt; C</w:t>
                  </w:r>
                  <w:r w:rsidRPr="001261DA">
                    <w:rPr>
                      <w:rFonts w:cs="Arial"/>
                      <w:szCs w:val="22"/>
                      <w:vertAlign w:val="subscript"/>
                    </w:rPr>
                    <w:t>16</w:t>
                  </w:r>
                  <w:r w:rsidRPr="00D74F7D">
                    <w:rPr>
                      <w:rFonts w:cs="Arial"/>
                      <w:szCs w:val="22"/>
                    </w:rPr>
                    <w:t xml:space="preserve"> </w:t>
                  </w:r>
                  <w:r w:rsidRPr="001261DA">
                    <w:rPr>
                      <w:rFonts w:cs="Arial"/>
                      <w:szCs w:val="22"/>
                    </w:rPr>
                    <w:t>– C</w:t>
                  </w:r>
                  <w:r w:rsidRPr="001261DA">
                    <w:rPr>
                      <w:rFonts w:cs="Arial"/>
                      <w:szCs w:val="22"/>
                      <w:vertAlign w:val="subscript"/>
                    </w:rPr>
                    <w:t>22</w:t>
                  </w:r>
                  <w:r w:rsidRPr="001261DA">
                    <w:rPr>
                      <w:rFonts w:cs="Arial"/>
                      <w:szCs w:val="22"/>
                    </w:rPr>
                    <w:t xml:space="preserve"> (TSVOC)</w:t>
                  </w:r>
                  <w:r w:rsidRPr="001261DA">
                    <w:rPr>
                      <w:rFonts w:cs="Arial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 w:rsidRPr="00D74F7D">
                    <w:rPr>
                      <w:rFonts w:cs="Arial"/>
                    </w:rPr>
                    <w:t>≤</w:t>
                  </w:r>
                  <w:r>
                    <w:t xml:space="preserve"> 0,1 mg/m³</w:t>
                  </w:r>
                </w:p>
              </w:tc>
            </w:tr>
            <w:tr w:rsidR="0092010E" w:rsidTr="004070C0">
              <w:tc>
                <w:tcPr>
                  <w:tcW w:w="1990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>
                    <w:t>Krebserzeugende Stoffe</w:t>
                  </w:r>
                  <w:r>
                    <w:rPr>
                      <w:rStyle w:val="Funotenzeichen"/>
                    </w:rPr>
                    <w:footnoteReference w:id="3"/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:rsidR="0092010E" w:rsidRPr="00D74F7D" w:rsidRDefault="0092010E" w:rsidP="002E7005">
                  <w:pPr>
                    <w:spacing w:before="0" w:after="0" w:line="240" w:lineRule="atLeast"/>
                    <w:jc w:val="left"/>
                    <w:rPr>
                      <w:rFonts w:cs="Arial"/>
                      <w:sz w:val="26"/>
                      <w:szCs w:val="26"/>
                    </w:rPr>
                  </w:pPr>
                  <w:r w:rsidRPr="00D74F7D">
                    <w:rPr>
                      <w:rFonts w:cs="Arial"/>
                    </w:rPr>
                    <w:t xml:space="preserve">≤ </w:t>
                  </w:r>
                  <w:r w:rsidRPr="001261DA">
                    <w:rPr>
                      <w:rFonts w:cs="Arial"/>
                      <w:szCs w:val="22"/>
                    </w:rPr>
                    <w:t>10 μg/m³ Summe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2010E" w:rsidRPr="00D74F7D" w:rsidRDefault="0092010E" w:rsidP="002E7005">
                  <w:pPr>
                    <w:spacing w:before="0" w:after="0" w:line="240" w:lineRule="atLeast"/>
                    <w:jc w:val="left"/>
                    <w:rPr>
                      <w:rFonts w:cs="Arial"/>
                      <w:sz w:val="26"/>
                      <w:szCs w:val="26"/>
                    </w:rPr>
                  </w:pPr>
                  <w:r w:rsidRPr="00D74F7D">
                    <w:rPr>
                      <w:rFonts w:cs="Arial"/>
                    </w:rPr>
                    <w:t>≤</w:t>
                  </w:r>
                  <w:r w:rsidRPr="001261DA">
                    <w:rPr>
                      <w:rFonts w:cs="Arial"/>
                      <w:sz w:val="26"/>
                      <w:szCs w:val="26"/>
                    </w:rPr>
                    <w:t xml:space="preserve"> </w:t>
                  </w:r>
                  <w:r w:rsidRPr="001261DA">
                    <w:rPr>
                      <w:rFonts w:cs="Arial"/>
                      <w:szCs w:val="22"/>
                    </w:rPr>
                    <w:t>1 μg/m³ je Einzelwert</w:t>
                  </w:r>
                </w:p>
              </w:tc>
            </w:tr>
            <w:tr w:rsidR="0092010E" w:rsidTr="004070C0">
              <w:tc>
                <w:tcPr>
                  <w:tcW w:w="1990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>
                    <w:t>Summe aller VOC ohne NIK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 w:rsidRPr="00D74F7D">
                    <w:rPr>
                      <w:rFonts w:cs="Arial"/>
                    </w:rPr>
                    <w:t xml:space="preserve">≤ </w:t>
                  </w:r>
                  <w:r>
                    <w:t>0,1 mg/m³</w:t>
                  </w:r>
                </w:p>
              </w:tc>
            </w:tr>
            <w:tr w:rsidR="0092010E" w:rsidTr="004070C0">
              <w:tc>
                <w:tcPr>
                  <w:tcW w:w="1990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>
                    <w:t>Formaldehyd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 w:rsidRPr="00D74F7D">
                    <w:rPr>
                      <w:rFonts w:cs="Arial"/>
                    </w:rPr>
                    <w:t>≤</w:t>
                  </w:r>
                  <w:r>
                    <w:t xml:space="preserve"> 0,05 ppm</w:t>
                  </w:r>
                </w:p>
              </w:tc>
            </w:tr>
            <w:tr w:rsidR="0092010E" w:rsidTr="004070C0">
              <w:tc>
                <w:tcPr>
                  <w:tcW w:w="1990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>
                    <w:t>Ammoniak</w:t>
                  </w:r>
                  <w:r>
                    <w:rPr>
                      <w:rStyle w:val="Funotenzeichen"/>
                    </w:rPr>
                    <w:footnoteReference w:id="4"/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2010E" w:rsidRDefault="0092010E" w:rsidP="002E7005">
                  <w:pPr>
                    <w:spacing w:line="240" w:lineRule="atLeast"/>
                    <w:jc w:val="left"/>
                  </w:pPr>
                  <w:r>
                    <w:t>0,1 mg/m³</w:t>
                  </w:r>
                </w:p>
              </w:tc>
            </w:tr>
          </w:tbl>
          <w:p w:rsidR="0092010E" w:rsidRPr="007A79C6" w:rsidRDefault="0092010E" w:rsidP="002E7005">
            <w:pPr>
              <w:pStyle w:val="Liste"/>
              <w:numPr>
                <w:ilvl w:val="0"/>
                <w:numId w:val="0"/>
              </w:numPr>
            </w:pPr>
          </w:p>
        </w:tc>
        <w:tc>
          <w:tcPr>
            <w:tcW w:w="1701" w:type="dxa"/>
          </w:tcPr>
          <w:p w:rsidR="0092010E" w:rsidRDefault="0092010E" w:rsidP="0092010E">
            <w:pPr>
              <w:jc w:val="left"/>
            </w:pPr>
            <w:r w:rsidRPr="00C1131E">
              <w:t>Ausschluss-kriterium</w:t>
            </w:r>
            <w:r>
              <w:t xml:space="preserve"> </w:t>
            </w:r>
          </w:p>
          <w:p w:rsidR="0092010E" w:rsidRPr="00C1131E" w:rsidRDefault="0092010E" w:rsidP="002B0C06">
            <w:pPr>
              <w:jc w:val="left"/>
            </w:pPr>
            <w:r w:rsidRPr="00FE5FBE">
              <w:t>Nachweis</w:t>
            </w:r>
            <w:r>
              <w:t xml:space="preserve"> durch</w:t>
            </w:r>
            <w:r w:rsidRPr="00FE5FBE">
              <w:t xml:space="preserve"> Prüfprotokoll eines unab</w:t>
            </w:r>
            <w:r>
              <w:t>-</w:t>
            </w:r>
            <w:r w:rsidRPr="00FE5FBE">
              <w:t>hängigen Prüflabors gemäß Teil II der Grund</w:t>
            </w:r>
            <w:r>
              <w:t>-</w:t>
            </w:r>
            <w:r w:rsidRPr="00FE5FBE">
              <w:t>sätze des DIBt zur gesund</w:t>
            </w:r>
            <w:r>
              <w:t>-</w:t>
            </w:r>
            <w:r w:rsidRPr="00FE5FBE">
              <w:t>heitlichen Bewertung von Bauprodukten in Innenräu</w:t>
            </w:r>
            <w:r>
              <w:t>-</w:t>
            </w:r>
            <w:r w:rsidRPr="00FE5FBE">
              <w:t>men, basier</w:t>
            </w:r>
            <w:r>
              <w:t>-</w:t>
            </w:r>
            <w:r w:rsidRPr="00FE5FBE">
              <w:t>end auf der Norm DIN EN ISO 16000-9</w:t>
            </w:r>
          </w:p>
        </w:tc>
        <w:tc>
          <w:tcPr>
            <w:tcW w:w="1276" w:type="dxa"/>
            <w:vAlign w:val="center"/>
          </w:tcPr>
          <w:p w:rsidR="0092010E" w:rsidRPr="00865E7C" w:rsidRDefault="00006C03" w:rsidP="004070C0">
            <w:pPr>
              <w:jc w:val="center"/>
            </w:pPr>
            <w:r w:rsidRPr="00865E7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010E" w:rsidRPr="00865E7C">
              <w:instrText xml:space="preserve"> FORMCHECKBOX </w:instrText>
            </w:r>
            <w:r>
              <w:fldChar w:fldCharType="separate"/>
            </w:r>
            <w:r w:rsidRPr="00865E7C">
              <w:fldChar w:fldCharType="end"/>
            </w:r>
          </w:p>
        </w:tc>
      </w:tr>
      <w:tr w:rsidR="0092010E" w:rsidRPr="00B3314D" w:rsidTr="005D207F">
        <w:tc>
          <w:tcPr>
            <w:tcW w:w="817" w:type="dxa"/>
            <w:shd w:val="clear" w:color="auto" w:fill="auto"/>
          </w:tcPr>
          <w:p w:rsidR="0092010E" w:rsidRPr="00B3314D" w:rsidRDefault="0092010E" w:rsidP="004070C0">
            <w:pPr>
              <w:rPr>
                <w:rStyle w:val="Fett"/>
              </w:rPr>
            </w:pPr>
          </w:p>
        </w:tc>
        <w:tc>
          <w:tcPr>
            <w:tcW w:w="5528" w:type="dxa"/>
            <w:shd w:val="clear" w:color="auto" w:fill="auto"/>
          </w:tcPr>
          <w:p w:rsidR="0092010E" w:rsidRDefault="0092010E" w:rsidP="002B0C06">
            <w:pPr>
              <w:jc w:val="left"/>
              <w:rPr>
                <w:rStyle w:val="Fett"/>
              </w:rPr>
            </w:pPr>
            <w:r>
              <w:rPr>
                <w:rStyle w:val="Fett"/>
              </w:rPr>
              <w:t>Gebrauchstauglichkeit:</w:t>
            </w:r>
          </w:p>
          <w:p w:rsidR="0092010E" w:rsidRDefault="0092010E" w:rsidP="002B0C06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Die Produkte müssen den üblichen Qualitätsanfor</w:t>
            </w:r>
            <w:r w:rsidR="002B0C06">
              <w:rPr>
                <w:rFonts w:eastAsia="Calibri" w:cs="Arial"/>
                <w:szCs w:val="22"/>
              </w:rPr>
              <w:t>-</w:t>
            </w:r>
            <w:r>
              <w:rPr>
                <w:rFonts w:eastAsia="Calibri" w:cs="Arial"/>
                <w:szCs w:val="22"/>
              </w:rPr>
              <w:t>derungen an die Gebrauchstauglichkeit entsprechen. Hierbei sind die Anforderungen der entsprechenden Produktnormen und Regularien zu erfüllen.</w:t>
            </w:r>
          </w:p>
          <w:p w:rsidR="0092010E" w:rsidRDefault="0092010E" w:rsidP="002B0C06">
            <w:pPr>
              <w:jc w:val="left"/>
              <w:rPr>
                <w:rStyle w:val="Fett"/>
              </w:rPr>
            </w:pPr>
            <w:r>
              <w:rPr>
                <w:rFonts w:eastAsia="Calibri" w:cs="Arial"/>
                <w:szCs w:val="22"/>
              </w:rPr>
              <w:t>Innentürelemente müssen die Anforderungen nach RAL-GZ 426 erfüllen.</w:t>
            </w:r>
          </w:p>
        </w:tc>
        <w:tc>
          <w:tcPr>
            <w:tcW w:w="1701" w:type="dxa"/>
            <w:shd w:val="clear" w:color="auto" w:fill="auto"/>
          </w:tcPr>
          <w:p w:rsidR="0092010E" w:rsidRPr="008A0EC3" w:rsidRDefault="0092010E" w:rsidP="0092010E">
            <w:pPr>
              <w:jc w:val="left"/>
            </w:pPr>
            <w:r w:rsidRPr="008A0EC3">
              <w:t>Ausschluss-kriterium</w:t>
            </w:r>
          </w:p>
          <w:p w:rsidR="0092010E" w:rsidRPr="00B004B2" w:rsidRDefault="0092010E" w:rsidP="002E7005">
            <w:pPr>
              <w:jc w:val="left"/>
              <w:rPr>
                <w:rStyle w:val="Fett"/>
                <w:rFonts w:cs="Arial"/>
                <w:b w:val="0"/>
                <w:bCs w:val="0"/>
                <w:szCs w:val="22"/>
              </w:rPr>
            </w:pPr>
            <w:r w:rsidRPr="008A0EC3">
              <w:t>Nachweis durch</w:t>
            </w:r>
            <w:r>
              <w:rPr>
                <w:rFonts w:cs="Arial"/>
                <w:szCs w:val="22"/>
              </w:rPr>
              <w:t xml:space="preserve"> Hersteller-erklärung; </w:t>
            </w:r>
            <w:r w:rsidR="002E7005"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>bei Innentür</w:t>
            </w:r>
            <w:r w:rsidR="002E7005"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 xml:space="preserve">elementen Nachweis der Einhaltung der Bestimmungen nach </w:t>
            </w:r>
            <w:r>
              <w:t>RAL-GZ 426.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010E" w:rsidRPr="00B3314D" w:rsidRDefault="00006C03" w:rsidP="005D207F">
            <w:pPr>
              <w:jc w:val="center"/>
              <w:rPr>
                <w:rStyle w:val="Fett"/>
              </w:rPr>
            </w:pPr>
            <w:r w:rsidRPr="00865E7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010E" w:rsidRPr="00865E7C">
              <w:instrText xml:space="preserve"> FORMCHECKBOX </w:instrText>
            </w:r>
            <w:r>
              <w:fldChar w:fldCharType="separate"/>
            </w:r>
            <w:r w:rsidRPr="00865E7C">
              <w:fldChar w:fldCharType="end"/>
            </w:r>
          </w:p>
        </w:tc>
      </w:tr>
      <w:tr w:rsidR="0092010E" w:rsidRPr="00B3314D" w:rsidTr="005D207F">
        <w:tc>
          <w:tcPr>
            <w:tcW w:w="817" w:type="dxa"/>
            <w:shd w:val="clear" w:color="auto" w:fill="auto"/>
          </w:tcPr>
          <w:p w:rsidR="0092010E" w:rsidRPr="00B3314D" w:rsidRDefault="0092010E" w:rsidP="004070C0">
            <w:pPr>
              <w:rPr>
                <w:rStyle w:val="Fett"/>
              </w:rPr>
            </w:pPr>
          </w:p>
        </w:tc>
        <w:tc>
          <w:tcPr>
            <w:tcW w:w="5528" w:type="dxa"/>
            <w:shd w:val="clear" w:color="auto" w:fill="auto"/>
          </w:tcPr>
          <w:p w:rsidR="0092010E" w:rsidRPr="00355692" w:rsidRDefault="002B0C06" w:rsidP="002B0C06">
            <w:pPr>
              <w:jc w:val="left"/>
              <w:rPr>
                <w:rStyle w:val="Fett"/>
                <w:b w:val="0"/>
              </w:rPr>
            </w:pPr>
            <w:r>
              <w:rPr>
                <w:rStyle w:val="Fett"/>
                <w:highlight w:val="yellow"/>
              </w:rPr>
              <w:t xml:space="preserve">Nur </w:t>
            </w:r>
            <w:r w:rsidR="0092010E" w:rsidRPr="0049670D">
              <w:rPr>
                <w:rStyle w:val="Fett"/>
                <w:highlight w:val="yellow"/>
              </w:rPr>
              <w:t>Bodenbeläge betreffend</w:t>
            </w:r>
          </w:p>
          <w:p w:rsidR="0092010E" w:rsidRDefault="0092010E" w:rsidP="002B0C06">
            <w:pPr>
              <w:jc w:val="left"/>
              <w:rPr>
                <w:rStyle w:val="Fett"/>
              </w:rPr>
            </w:pPr>
            <w:r>
              <w:rPr>
                <w:rStyle w:val="Fett"/>
              </w:rPr>
              <w:t>Bauaufsichtliche Zulassung</w:t>
            </w:r>
            <w:r w:rsidR="002B0C06">
              <w:rPr>
                <w:rStyle w:val="Fett"/>
              </w:rPr>
              <w:t>:</w:t>
            </w:r>
          </w:p>
          <w:p w:rsidR="0092010E" w:rsidRPr="002B0C06" w:rsidRDefault="0092010E" w:rsidP="002B0C06">
            <w:pPr>
              <w:jc w:val="left"/>
              <w:rPr>
                <w:rStyle w:val="Fett"/>
                <w:b w:val="0"/>
              </w:rPr>
            </w:pPr>
            <w:r w:rsidRPr="002B0C06">
              <w:rPr>
                <w:rStyle w:val="Fett"/>
                <w:b w:val="0"/>
              </w:rPr>
              <w:t>Die Bodenbeläge müssen eine bauaufsichtliche Zulassung besitzen.</w:t>
            </w:r>
          </w:p>
        </w:tc>
        <w:tc>
          <w:tcPr>
            <w:tcW w:w="1701" w:type="dxa"/>
            <w:shd w:val="clear" w:color="auto" w:fill="auto"/>
          </w:tcPr>
          <w:p w:rsidR="0092010E" w:rsidRDefault="0092010E" w:rsidP="0092010E">
            <w:pPr>
              <w:jc w:val="left"/>
            </w:pPr>
            <w:r>
              <w:t>Ausschluss-kriterium</w:t>
            </w:r>
          </w:p>
          <w:p w:rsidR="0092010E" w:rsidRPr="008A0EC3" w:rsidRDefault="0092010E" w:rsidP="002E7005">
            <w:pPr>
              <w:jc w:val="left"/>
            </w:pPr>
            <w:r>
              <w:t xml:space="preserve">Nachweis durch Vorlage eines amtlichen Bescheids über die </w:t>
            </w:r>
            <w:proofErr w:type="spellStart"/>
            <w:r>
              <w:t>bau</w:t>
            </w:r>
            <w:proofErr w:type="spellEnd"/>
            <w:r w:rsidR="002E7005">
              <w:t>-</w:t>
            </w:r>
            <w:proofErr w:type="spellStart"/>
            <w:r>
              <w:t>aufsichtliche</w:t>
            </w:r>
            <w:proofErr w:type="spellEnd"/>
            <w:r>
              <w:t xml:space="preserve"> Zulassung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010E" w:rsidRDefault="00006C03" w:rsidP="005D207F">
            <w:pPr>
              <w:jc w:val="center"/>
            </w:pPr>
            <w:r w:rsidRPr="00473CA3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70C0" w:rsidRPr="00473CA3">
              <w:instrText xml:space="preserve"> FORMCHECKBOX </w:instrText>
            </w:r>
            <w:r>
              <w:fldChar w:fldCharType="separate"/>
            </w:r>
            <w:r w:rsidRPr="00473CA3">
              <w:fldChar w:fldCharType="end"/>
            </w:r>
          </w:p>
        </w:tc>
      </w:tr>
      <w:tr w:rsidR="0092010E" w:rsidRPr="00B3314D" w:rsidTr="005D207F">
        <w:tc>
          <w:tcPr>
            <w:tcW w:w="817" w:type="dxa"/>
            <w:shd w:val="clear" w:color="auto" w:fill="auto"/>
          </w:tcPr>
          <w:p w:rsidR="0092010E" w:rsidRPr="00B3314D" w:rsidRDefault="0092010E" w:rsidP="004070C0">
            <w:pPr>
              <w:rPr>
                <w:rStyle w:val="Fett"/>
              </w:rPr>
            </w:pPr>
          </w:p>
        </w:tc>
        <w:tc>
          <w:tcPr>
            <w:tcW w:w="5528" w:type="dxa"/>
            <w:shd w:val="clear" w:color="auto" w:fill="auto"/>
          </w:tcPr>
          <w:p w:rsidR="0092010E" w:rsidRDefault="0092010E" w:rsidP="002B0C06">
            <w:pPr>
              <w:jc w:val="left"/>
              <w:rPr>
                <w:rStyle w:val="Fett"/>
              </w:rPr>
            </w:pPr>
            <w:r>
              <w:rPr>
                <w:rStyle w:val="Fett"/>
              </w:rPr>
              <w:t>Verpackungen:</w:t>
            </w:r>
          </w:p>
          <w:p w:rsidR="0092010E" w:rsidRDefault="0092010E" w:rsidP="002B0C06">
            <w:pPr>
              <w:jc w:val="left"/>
              <w:rPr>
                <w:rStyle w:val="Fett"/>
              </w:rPr>
            </w:pPr>
            <w:r>
              <w:t>Die Produkte sind so verpackt, dass ein Ausgasen flüchtiger Bestandteile nach der Herstellung ermöglicht wird</w:t>
            </w:r>
            <w:r w:rsidRPr="005048DD">
              <w:t>.</w:t>
            </w:r>
          </w:p>
        </w:tc>
        <w:tc>
          <w:tcPr>
            <w:tcW w:w="1701" w:type="dxa"/>
            <w:shd w:val="clear" w:color="auto" w:fill="auto"/>
          </w:tcPr>
          <w:p w:rsidR="0092010E" w:rsidRPr="008A0EC3" w:rsidRDefault="0092010E" w:rsidP="0092010E">
            <w:pPr>
              <w:jc w:val="left"/>
            </w:pPr>
            <w:r w:rsidRPr="008A0EC3">
              <w:t>Ausschluss-kriterium</w:t>
            </w:r>
          </w:p>
          <w:p w:rsidR="0092010E" w:rsidRPr="008A0EC3" w:rsidRDefault="0092010E" w:rsidP="0092010E">
            <w:pPr>
              <w:jc w:val="left"/>
            </w:pPr>
            <w:r w:rsidRPr="008A0EC3">
              <w:t>Nachweis durch</w:t>
            </w:r>
            <w:r>
              <w:t xml:space="preserve"> Hersteller</w:t>
            </w:r>
            <w:r w:rsidR="002E7005">
              <w:t>-</w:t>
            </w:r>
            <w:r>
              <w:t>erklärung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010E" w:rsidRDefault="00006C03" w:rsidP="005D207F">
            <w:pPr>
              <w:jc w:val="center"/>
            </w:pPr>
            <w:r w:rsidRPr="00865E7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70C0" w:rsidRPr="00865E7C">
              <w:instrText xml:space="preserve"> FORMCHECKBOX </w:instrText>
            </w:r>
            <w:r>
              <w:fldChar w:fldCharType="separate"/>
            </w:r>
            <w:r w:rsidRPr="00865E7C">
              <w:fldChar w:fldCharType="end"/>
            </w:r>
          </w:p>
        </w:tc>
      </w:tr>
      <w:tr w:rsidR="0092010E" w:rsidRPr="00B3314D" w:rsidTr="004070C0">
        <w:tc>
          <w:tcPr>
            <w:tcW w:w="817" w:type="dxa"/>
            <w:shd w:val="clear" w:color="auto" w:fill="E6E6E6"/>
          </w:tcPr>
          <w:p w:rsidR="0092010E" w:rsidRPr="00B3314D" w:rsidRDefault="0092010E" w:rsidP="004070C0">
            <w:pPr>
              <w:rPr>
                <w:rStyle w:val="Fett"/>
              </w:rPr>
            </w:pPr>
            <w:r w:rsidRPr="00B3314D">
              <w:rPr>
                <w:rStyle w:val="Fett"/>
              </w:rPr>
              <w:t>4</w:t>
            </w:r>
          </w:p>
        </w:tc>
        <w:tc>
          <w:tcPr>
            <w:tcW w:w="5528" w:type="dxa"/>
            <w:shd w:val="clear" w:color="auto" w:fill="E6E6E6"/>
          </w:tcPr>
          <w:p w:rsidR="0092010E" w:rsidRPr="00B3314D" w:rsidRDefault="0092010E" w:rsidP="004070C0">
            <w:pPr>
              <w:rPr>
                <w:rStyle w:val="Fett"/>
              </w:rPr>
            </w:pPr>
            <w:r>
              <w:rPr>
                <w:rStyle w:val="Fett"/>
              </w:rPr>
              <w:t>Verwertung und Entsorgung</w:t>
            </w:r>
          </w:p>
        </w:tc>
        <w:tc>
          <w:tcPr>
            <w:tcW w:w="1701" w:type="dxa"/>
            <w:shd w:val="clear" w:color="auto" w:fill="E6E6E6"/>
          </w:tcPr>
          <w:p w:rsidR="0092010E" w:rsidRPr="00B3314D" w:rsidRDefault="0092010E" w:rsidP="004070C0">
            <w:pPr>
              <w:rPr>
                <w:rStyle w:val="Fett"/>
              </w:rPr>
            </w:pPr>
          </w:p>
        </w:tc>
        <w:tc>
          <w:tcPr>
            <w:tcW w:w="1276" w:type="dxa"/>
            <w:shd w:val="clear" w:color="auto" w:fill="E6E6E6"/>
          </w:tcPr>
          <w:p w:rsidR="0092010E" w:rsidRPr="00B3314D" w:rsidRDefault="0092010E" w:rsidP="004070C0">
            <w:pPr>
              <w:rPr>
                <w:rStyle w:val="Fett"/>
              </w:rPr>
            </w:pPr>
          </w:p>
        </w:tc>
      </w:tr>
      <w:tr w:rsidR="0092010E" w:rsidRPr="00865E7C" w:rsidTr="004070C0">
        <w:tc>
          <w:tcPr>
            <w:tcW w:w="817" w:type="dxa"/>
          </w:tcPr>
          <w:p w:rsidR="0092010E" w:rsidRPr="00865E7C" w:rsidRDefault="0092010E" w:rsidP="004070C0"/>
        </w:tc>
        <w:tc>
          <w:tcPr>
            <w:tcW w:w="5528" w:type="dxa"/>
          </w:tcPr>
          <w:p w:rsidR="002B0C06" w:rsidRDefault="0092010E" w:rsidP="002B0C06">
            <w:pPr>
              <w:jc w:val="left"/>
            </w:pPr>
            <w:r w:rsidRPr="00526D19">
              <w:rPr>
                <w:b/>
              </w:rPr>
              <w:t>Halogene</w:t>
            </w:r>
            <w:r>
              <w:t xml:space="preserve">: </w:t>
            </w:r>
          </w:p>
          <w:p w:rsidR="0092010E" w:rsidRPr="007A79C6" w:rsidRDefault="0092010E" w:rsidP="002B0C06">
            <w:pPr>
              <w:jc w:val="left"/>
            </w:pPr>
            <w:r>
              <w:t>Bei der Herstellung der Produkte und ihrer Materialien wie z.B. Holzwerkstoffe, Klebstoffe, Beschichtungen wurden keine halogenierten organischen Verbindungen (z.B. Bindemittel, Flammschutzmittel) eingesetzt.</w:t>
            </w:r>
          </w:p>
        </w:tc>
        <w:tc>
          <w:tcPr>
            <w:tcW w:w="1701" w:type="dxa"/>
          </w:tcPr>
          <w:p w:rsidR="0092010E" w:rsidRPr="008A0EC3" w:rsidRDefault="0092010E" w:rsidP="0092010E">
            <w:pPr>
              <w:jc w:val="left"/>
            </w:pPr>
            <w:r w:rsidRPr="008A0EC3">
              <w:t>Ausschluss-kriterium</w:t>
            </w:r>
          </w:p>
          <w:p w:rsidR="0092010E" w:rsidRPr="00865E7C" w:rsidRDefault="0092010E" w:rsidP="0092010E">
            <w:pPr>
              <w:jc w:val="left"/>
            </w:pPr>
            <w:r w:rsidRPr="008A0EC3">
              <w:t>Nachweis durch Hersteller</w:t>
            </w:r>
            <w:r w:rsidR="002E7005">
              <w:t>-</w:t>
            </w:r>
            <w:r w:rsidRPr="008A0EC3">
              <w:t>erklärung</w:t>
            </w:r>
          </w:p>
        </w:tc>
        <w:tc>
          <w:tcPr>
            <w:tcW w:w="1276" w:type="dxa"/>
            <w:vAlign w:val="center"/>
          </w:tcPr>
          <w:p w:rsidR="0092010E" w:rsidRPr="00865E7C" w:rsidRDefault="00006C03" w:rsidP="004070C0">
            <w:pPr>
              <w:jc w:val="center"/>
            </w:pPr>
            <w:r w:rsidRPr="00865E7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010E" w:rsidRPr="00865E7C">
              <w:instrText xml:space="preserve"> FORMCHECKBOX </w:instrText>
            </w:r>
            <w:r>
              <w:fldChar w:fldCharType="separate"/>
            </w:r>
            <w:r w:rsidRPr="00865E7C">
              <w:fldChar w:fldCharType="end"/>
            </w:r>
          </w:p>
        </w:tc>
      </w:tr>
      <w:tr w:rsidR="0092010E" w:rsidRPr="00865E7C" w:rsidTr="004070C0">
        <w:tc>
          <w:tcPr>
            <w:tcW w:w="817" w:type="dxa"/>
          </w:tcPr>
          <w:p w:rsidR="0092010E" w:rsidRPr="00865E7C" w:rsidRDefault="0092010E" w:rsidP="004070C0"/>
        </w:tc>
        <w:tc>
          <w:tcPr>
            <w:tcW w:w="5528" w:type="dxa"/>
          </w:tcPr>
          <w:p w:rsidR="002B0C06" w:rsidRDefault="0092010E" w:rsidP="002B0C06">
            <w:pPr>
              <w:pStyle w:val="Pa4"/>
              <w:spacing w:before="120" w:after="120" w:line="240" w:lineRule="auto"/>
              <w:rPr>
                <w:b/>
              </w:rPr>
            </w:pPr>
            <w:r w:rsidRPr="00324446">
              <w:rPr>
                <w:rFonts w:ascii="Arial" w:hAnsi="Arial" w:cs="Arial"/>
                <w:b/>
                <w:sz w:val="22"/>
                <w:szCs w:val="22"/>
              </w:rPr>
              <w:t>Flammschutzmittel</w:t>
            </w:r>
            <w:r w:rsidRPr="00324446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b/>
              </w:rPr>
              <w:t xml:space="preserve"> </w:t>
            </w:r>
          </w:p>
          <w:p w:rsidR="0092010E" w:rsidRDefault="0092010E" w:rsidP="002B0C06">
            <w:pPr>
              <w:pStyle w:val="Pa4"/>
              <w:spacing w:before="120" w:after="1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Das Produkt enthält keine Flammschutzmittel</w:t>
            </w:r>
            <w:r w:rsidRPr="00930C9A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2B0C06" w:rsidRDefault="002B0C06" w:rsidP="002B0C06">
            <w:pPr>
              <w:pStyle w:val="Pa4"/>
              <w:spacing w:before="120" w:after="1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2010E" w:rsidRPr="00930C9A" w:rsidRDefault="0092010E" w:rsidP="002B0C06">
            <w:pPr>
              <w:pStyle w:val="Pa4"/>
              <w:spacing w:before="120" w:after="1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30C9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Ausgenommen sind: </w:t>
            </w:r>
          </w:p>
          <w:p w:rsidR="0092010E" w:rsidRPr="00930C9A" w:rsidRDefault="0092010E" w:rsidP="002B0C06">
            <w:pPr>
              <w:pStyle w:val="Aufzhlungszeichen"/>
              <w:jc w:val="left"/>
            </w:pPr>
            <w:r w:rsidRPr="00930C9A">
              <w:t>anorganische Ammoniumphosphate (Diammoniumphosphat, Ammonium</w:t>
            </w:r>
            <w:r w:rsidRPr="00930C9A">
              <w:softHyphen/>
              <w:t>polyphosphat usw.),</w:t>
            </w:r>
          </w:p>
          <w:p w:rsidR="0092010E" w:rsidRDefault="0092010E" w:rsidP="002B0C06">
            <w:pPr>
              <w:pStyle w:val="Aufzhlungszeichen"/>
              <w:jc w:val="left"/>
            </w:pPr>
            <w:r w:rsidRPr="00930C9A">
              <w:t>andere wasserabspaltende Minerale (Aluminiumhydroxyd o. ä.)</w:t>
            </w:r>
            <w:r w:rsidR="00EA31AF">
              <w:t>,</w:t>
            </w:r>
          </w:p>
          <w:p w:rsidR="0092010E" w:rsidRDefault="0092010E" w:rsidP="002B0C06">
            <w:pPr>
              <w:pStyle w:val="Aufzhlungszeichen"/>
              <w:jc w:val="left"/>
            </w:pPr>
            <w:r w:rsidRPr="00930C9A">
              <w:t>Blähgraphit.</w:t>
            </w:r>
          </w:p>
        </w:tc>
        <w:tc>
          <w:tcPr>
            <w:tcW w:w="1701" w:type="dxa"/>
          </w:tcPr>
          <w:p w:rsidR="0092010E" w:rsidRPr="008A0EC3" w:rsidRDefault="0092010E" w:rsidP="0092010E">
            <w:pPr>
              <w:jc w:val="left"/>
            </w:pPr>
            <w:r w:rsidRPr="008A0EC3">
              <w:lastRenderedPageBreak/>
              <w:t>Ausschluss-kriterium</w:t>
            </w:r>
          </w:p>
          <w:p w:rsidR="0092010E" w:rsidRPr="008A0EC3" w:rsidRDefault="0092010E" w:rsidP="0092010E">
            <w:pPr>
              <w:jc w:val="left"/>
            </w:pPr>
            <w:r w:rsidRPr="008A0EC3">
              <w:t xml:space="preserve">Nachweis durch </w:t>
            </w:r>
            <w:r w:rsidRPr="008A0EC3">
              <w:lastRenderedPageBreak/>
              <w:t>Hersteller</w:t>
            </w:r>
            <w:r w:rsidR="002E7005">
              <w:t>-</w:t>
            </w:r>
            <w:r w:rsidRPr="008A0EC3">
              <w:t>erklärung</w:t>
            </w:r>
          </w:p>
        </w:tc>
        <w:tc>
          <w:tcPr>
            <w:tcW w:w="1276" w:type="dxa"/>
            <w:vAlign w:val="center"/>
          </w:tcPr>
          <w:p w:rsidR="0092010E" w:rsidRPr="00865E7C" w:rsidRDefault="00006C03" w:rsidP="004070C0">
            <w:pPr>
              <w:jc w:val="center"/>
            </w:pPr>
            <w:r w:rsidRPr="00865E7C"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010E" w:rsidRPr="00865E7C">
              <w:instrText xml:space="preserve"> FORMCHECKBOX </w:instrText>
            </w:r>
            <w:r>
              <w:fldChar w:fldCharType="separate"/>
            </w:r>
            <w:r w:rsidRPr="00865E7C">
              <w:fldChar w:fldCharType="end"/>
            </w:r>
          </w:p>
        </w:tc>
      </w:tr>
      <w:tr w:rsidR="0092010E" w:rsidRPr="00865E7C" w:rsidTr="004070C0">
        <w:tc>
          <w:tcPr>
            <w:tcW w:w="817" w:type="dxa"/>
          </w:tcPr>
          <w:p w:rsidR="0092010E" w:rsidRPr="00865E7C" w:rsidRDefault="0092010E" w:rsidP="004070C0"/>
        </w:tc>
        <w:tc>
          <w:tcPr>
            <w:tcW w:w="5528" w:type="dxa"/>
          </w:tcPr>
          <w:p w:rsidR="002B0C06" w:rsidRDefault="0092010E" w:rsidP="002B0C06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b/>
              </w:rPr>
              <w:t xml:space="preserve">Biozide: </w:t>
            </w:r>
          </w:p>
          <w:p w:rsidR="0092010E" w:rsidRDefault="0092010E" w:rsidP="002B0C06">
            <w:pPr>
              <w:autoSpaceDE w:val="0"/>
              <w:autoSpaceDN w:val="0"/>
              <w:adjustRightInd w:val="0"/>
              <w:jc w:val="left"/>
              <w:rPr>
                <w:rFonts w:cs="Meta Serif Offc Book"/>
                <w:color w:val="000000"/>
                <w:szCs w:val="22"/>
              </w:rPr>
            </w:pPr>
            <w:r w:rsidRPr="00530DE3">
              <w:rPr>
                <w:rFonts w:cs="Meta Serif Offc Book"/>
                <w:color w:val="000000"/>
                <w:szCs w:val="22"/>
              </w:rPr>
              <w:t>D</w:t>
            </w:r>
            <w:r>
              <w:rPr>
                <w:rFonts w:cs="Meta Serif Offc Book"/>
                <w:color w:val="000000"/>
                <w:szCs w:val="22"/>
              </w:rPr>
              <w:t xml:space="preserve">as Produkt enthält keine </w:t>
            </w:r>
            <w:r w:rsidRPr="00530DE3">
              <w:rPr>
                <w:rFonts w:cs="Meta Serif Offc Book"/>
                <w:color w:val="000000"/>
                <w:szCs w:val="22"/>
              </w:rPr>
              <w:t xml:space="preserve">Biozide. </w:t>
            </w:r>
          </w:p>
          <w:p w:rsidR="0092010E" w:rsidRPr="00454670" w:rsidRDefault="0092010E" w:rsidP="002B0C06">
            <w:pPr>
              <w:autoSpaceDE w:val="0"/>
              <w:autoSpaceDN w:val="0"/>
              <w:adjustRightInd w:val="0"/>
              <w:jc w:val="left"/>
            </w:pPr>
            <w:r>
              <w:rPr>
                <w:rFonts w:cs="Meta Serif Offc Book"/>
                <w:color w:val="000000"/>
                <w:szCs w:val="22"/>
              </w:rPr>
              <w:t>A</w:t>
            </w:r>
            <w:r w:rsidRPr="00530DE3">
              <w:rPr>
                <w:rFonts w:cs="Meta Serif Offc Book"/>
                <w:color w:val="000000"/>
                <w:szCs w:val="22"/>
              </w:rPr>
              <w:t>usgenommen sind Biozide, die allein zur Topfkon</w:t>
            </w:r>
            <w:r w:rsidR="002B0C06">
              <w:rPr>
                <w:rFonts w:cs="Meta Serif Offc Book"/>
                <w:color w:val="000000"/>
                <w:szCs w:val="22"/>
              </w:rPr>
              <w:t>-</w:t>
            </w:r>
            <w:r w:rsidRPr="00530DE3">
              <w:rPr>
                <w:rFonts w:cs="Meta Serif Offc Book"/>
                <w:color w:val="000000"/>
                <w:szCs w:val="22"/>
              </w:rPr>
              <w:t>servierung in wässrigen Beschichtungsstoffen und Leimen eingesetzt werden oder Flammschutzmittel nach Ziffer</w:t>
            </w:r>
            <w:r>
              <w:rPr>
                <w:rFonts w:cs="Meta Serif Offc Book"/>
                <w:color w:val="000000"/>
                <w:sz w:val="18"/>
                <w:szCs w:val="18"/>
              </w:rPr>
              <w:t xml:space="preserve"> </w:t>
            </w:r>
            <w:r>
              <w:t>4.</w:t>
            </w:r>
          </w:p>
        </w:tc>
        <w:tc>
          <w:tcPr>
            <w:tcW w:w="1701" w:type="dxa"/>
          </w:tcPr>
          <w:p w:rsidR="0092010E" w:rsidRPr="008A0EC3" w:rsidRDefault="0092010E" w:rsidP="00030D58">
            <w:pPr>
              <w:jc w:val="left"/>
            </w:pPr>
            <w:r w:rsidRPr="008A0EC3">
              <w:t>Ausschluss-kriterium</w:t>
            </w:r>
          </w:p>
          <w:p w:rsidR="0092010E" w:rsidRPr="008A0EC3" w:rsidRDefault="0092010E" w:rsidP="00030D58">
            <w:pPr>
              <w:jc w:val="left"/>
            </w:pPr>
            <w:r w:rsidRPr="008A0EC3">
              <w:t>Nachweis durch Hersteller</w:t>
            </w:r>
            <w:r w:rsidR="002E7005">
              <w:t>-</w:t>
            </w:r>
            <w:r w:rsidRPr="008A0EC3">
              <w:t>erklärung</w:t>
            </w:r>
          </w:p>
        </w:tc>
        <w:tc>
          <w:tcPr>
            <w:tcW w:w="1276" w:type="dxa"/>
            <w:vAlign w:val="center"/>
          </w:tcPr>
          <w:p w:rsidR="0092010E" w:rsidRPr="00865E7C" w:rsidRDefault="00006C03" w:rsidP="004070C0">
            <w:pPr>
              <w:jc w:val="center"/>
            </w:pPr>
            <w:r w:rsidRPr="00865E7C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010E" w:rsidRPr="00865E7C">
              <w:instrText xml:space="preserve"> FORMCHECKBOX </w:instrText>
            </w:r>
            <w:r>
              <w:fldChar w:fldCharType="separate"/>
            </w:r>
            <w:r w:rsidRPr="00865E7C">
              <w:fldChar w:fldCharType="end"/>
            </w:r>
          </w:p>
        </w:tc>
      </w:tr>
    </w:tbl>
    <w:p w:rsidR="0092010E" w:rsidRDefault="0092010E"/>
    <w:sectPr w:rsidR="0092010E" w:rsidSect="00C613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0C0" w:rsidRDefault="004070C0" w:rsidP="0092010E">
      <w:pPr>
        <w:spacing w:before="0" w:after="0"/>
      </w:pPr>
      <w:r>
        <w:separator/>
      </w:r>
    </w:p>
  </w:endnote>
  <w:endnote w:type="continuationSeparator" w:id="0">
    <w:p w:rsidR="004070C0" w:rsidRDefault="004070C0" w:rsidP="0092010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eta Serif Offc Book">
    <w:altName w:val="Century"/>
    <w:panose1 w:val="02010604050101020102"/>
    <w:charset w:val="00"/>
    <w:family w:val="roman"/>
    <w:notTrueType/>
    <w:pitch w:val="default"/>
    <w:sig w:usb0="00000003" w:usb1="00000000" w:usb2="00000000" w:usb3="00000000" w:csb0="00000001" w:csb1="00000000"/>
  </w:font>
  <w:font w:name="Interstate LightCondense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 Serif Offc">
    <w:panose1 w:val="02010504050101020102"/>
    <w:charset w:val="00"/>
    <w:family w:val="auto"/>
    <w:pitch w:val="variable"/>
    <w:sig w:usb0="800000EF" w:usb1="5000207B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0C0" w:rsidRDefault="004070C0" w:rsidP="0092010E">
      <w:pPr>
        <w:spacing w:before="0" w:after="0"/>
      </w:pPr>
      <w:r>
        <w:separator/>
      </w:r>
    </w:p>
  </w:footnote>
  <w:footnote w:type="continuationSeparator" w:id="0">
    <w:p w:rsidR="004070C0" w:rsidRDefault="004070C0" w:rsidP="0092010E">
      <w:pPr>
        <w:spacing w:before="0" w:after="0"/>
      </w:pPr>
      <w:r>
        <w:continuationSeparator/>
      </w:r>
    </w:p>
  </w:footnote>
  <w:footnote w:id="1">
    <w:p w:rsidR="004070C0" w:rsidRDefault="004070C0" w:rsidP="0092010E">
      <w:pPr>
        <w:pStyle w:val="Funotentext"/>
      </w:pPr>
      <w:r w:rsidRPr="000E3F40">
        <w:rPr>
          <w:rStyle w:val="Funotenzeichen"/>
          <w:rFonts w:ascii="Interstate LightCondensed" w:hAnsi="Interstate LightCondensed"/>
        </w:rPr>
        <w:footnoteRef/>
      </w:r>
      <w:r w:rsidRPr="000E3F40">
        <w:t xml:space="preserve"> </w:t>
      </w:r>
      <w:r>
        <w:t>Als Nachweis sind die jeweils unter Anmerkung genannten Dokumente dem ausgefüllten Fragebogen beizufügen.</w:t>
      </w:r>
    </w:p>
  </w:footnote>
  <w:footnote w:id="2">
    <w:p w:rsidR="004070C0" w:rsidRDefault="004070C0" w:rsidP="0092010E">
      <w:pPr>
        <w:pStyle w:val="Funotentext"/>
        <w:tabs>
          <w:tab w:val="left" w:pos="142"/>
        </w:tabs>
      </w:pPr>
      <w:r w:rsidRPr="008B183A">
        <w:rPr>
          <w:rStyle w:val="Funotenzeichen"/>
        </w:rPr>
        <w:footnoteRef/>
      </w:r>
      <w:r w:rsidRPr="008B183A">
        <w:t xml:space="preserve"> </w:t>
      </w:r>
      <w:r w:rsidRPr="008B183A">
        <w:tab/>
      </w:r>
      <w:r w:rsidRPr="008B183A">
        <w:rPr>
          <w:rFonts w:ascii="Arial Narrow" w:hAnsi="Arial Narrow"/>
        </w:rPr>
        <w:t>Abl. L 295 vom 12. November 2010</w:t>
      </w:r>
    </w:p>
  </w:footnote>
  <w:footnote w:id="3">
    <w:p w:rsidR="004070C0" w:rsidRPr="00DB68F6" w:rsidRDefault="004070C0" w:rsidP="0092010E">
      <w:pPr>
        <w:pStyle w:val="Funotentext"/>
      </w:pPr>
      <w:r>
        <w:rPr>
          <w:rStyle w:val="Funotenzeichen"/>
        </w:rPr>
        <w:footnoteRef/>
      </w:r>
      <w:r>
        <w:t xml:space="preserve"> Stoffe, die gemäß Ziffer 2</w:t>
      </w:r>
      <w:r w:rsidRPr="00DB68F6">
        <w:t xml:space="preserve"> Allgemeine Anforderungen an Beschichtungssysteme eingestuft sind</w:t>
      </w:r>
      <w:r>
        <w:t>.</w:t>
      </w:r>
    </w:p>
  </w:footnote>
  <w:footnote w:id="4">
    <w:p w:rsidR="004070C0" w:rsidRPr="001343AF" w:rsidRDefault="004070C0" w:rsidP="0092010E">
      <w:pPr>
        <w:spacing w:before="0" w:after="0"/>
        <w:jc w:val="left"/>
        <w:rPr>
          <w:rStyle w:val="FunotentextZchn"/>
        </w:rPr>
      </w:pPr>
      <w:r>
        <w:rPr>
          <w:rStyle w:val="Funotenzeichen"/>
        </w:rPr>
        <w:footnoteRef/>
      </w:r>
      <w:r>
        <w:t xml:space="preserve"> </w:t>
      </w:r>
      <w:r w:rsidRPr="001343AF">
        <w:rPr>
          <w:rStyle w:val="FunotentextZchn"/>
        </w:rPr>
        <w:t xml:space="preserve">Eine Messung für Ammoniak ist nur für Holz erforderlich, dass mit Ammoniak behandelt wurde. Der für Ammoniak geforderte </w:t>
      </w:r>
      <w:proofErr w:type="spellStart"/>
      <w:r w:rsidRPr="001343AF">
        <w:rPr>
          <w:rStyle w:val="FunotentextZchn"/>
        </w:rPr>
        <w:t>Endwert</w:t>
      </w:r>
      <w:proofErr w:type="spellEnd"/>
      <w:r w:rsidRPr="001343AF">
        <w:rPr>
          <w:rStyle w:val="FunotentextZchn"/>
        </w:rPr>
        <w:t xml:space="preserve"> entspricht der Geruchsschwelle. </w:t>
      </w:r>
    </w:p>
    <w:p w:rsidR="004070C0" w:rsidRPr="001343AF" w:rsidRDefault="004070C0" w:rsidP="0092010E">
      <w:pPr>
        <w:pStyle w:val="Funoten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F1718"/>
    <w:multiLevelType w:val="hybridMultilevel"/>
    <w:tmpl w:val="16A888AE"/>
    <w:lvl w:ilvl="0" w:tplc="E0F25F9A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8375C"/>
    <w:multiLevelType w:val="multilevel"/>
    <w:tmpl w:val="A2309D9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lang w:val="de-D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>
    <w:nsid w:val="6FFD79B7"/>
    <w:multiLevelType w:val="hybridMultilevel"/>
    <w:tmpl w:val="5B10CE06"/>
    <w:lvl w:ilvl="0" w:tplc="AAE0C374">
      <w:start w:val="1"/>
      <w:numFmt w:val="bullet"/>
      <w:pStyle w:val="Aufzhlungszeichen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10E"/>
    <w:rsid w:val="00006C03"/>
    <w:rsid w:val="00030D58"/>
    <w:rsid w:val="001C249E"/>
    <w:rsid w:val="002B0C06"/>
    <w:rsid w:val="002E2990"/>
    <w:rsid w:val="002E7005"/>
    <w:rsid w:val="00393DBC"/>
    <w:rsid w:val="004070C0"/>
    <w:rsid w:val="005D207F"/>
    <w:rsid w:val="007D53DC"/>
    <w:rsid w:val="0092010E"/>
    <w:rsid w:val="00C61336"/>
    <w:rsid w:val="00EA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2010E"/>
    <w:pPr>
      <w:spacing w:before="120" w:after="120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2010E"/>
    <w:pPr>
      <w:keepNext/>
      <w:keepLines/>
      <w:numPr>
        <w:numId w:val="3"/>
      </w:numPr>
      <w:spacing w:before="36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2010E"/>
    <w:pPr>
      <w:keepNext/>
      <w:keepLines/>
      <w:numPr>
        <w:ilvl w:val="1"/>
        <w:numId w:val="3"/>
      </w:numPr>
      <w:spacing w:before="360"/>
      <w:jc w:val="left"/>
      <w:outlineLvl w:val="1"/>
    </w:pPr>
    <w:rPr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92010E"/>
    <w:pPr>
      <w:keepNext/>
      <w:keepLines/>
      <w:numPr>
        <w:ilvl w:val="2"/>
        <w:numId w:val="3"/>
      </w:numPr>
      <w:spacing w:before="360"/>
      <w:jc w:val="left"/>
      <w:outlineLvl w:val="2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92010E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92010E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92010E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92010E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92010E"/>
    <w:pPr>
      <w:numPr>
        <w:ilvl w:val="8"/>
        <w:numId w:val="3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2010E"/>
    <w:rPr>
      <w:rFonts w:ascii="Arial" w:hAnsi="Arial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92010E"/>
    <w:rPr>
      <w:rFonts w:ascii="Arial" w:hAnsi="Arial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92010E"/>
    <w:rPr>
      <w:rFonts w:ascii="Arial" w:hAnsi="Arial"/>
      <w:b/>
      <w:bCs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92010E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92010E"/>
    <w:rPr>
      <w:rFonts w:ascii="Calibri" w:hAnsi="Calibr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92010E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92010E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semiHidden/>
    <w:rsid w:val="0092010E"/>
    <w:rPr>
      <w:rFonts w:ascii="Calibri Light" w:hAnsi="Calibri Light"/>
      <w:sz w:val="22"/>
      <w:szCs w:val="22"/>
    </w:rPr>
  </w:style>
  <w:style w:type="character" w:styleId="Funotenzeichen">
    <w:name w:val="footnote reference"/>
    <w:rsid w:val="0092010E"/>
    <w:rPr>
      <w:vertAlign w:val="superscript"/>
    </w:rPr>
  </w:style>
  <w:style w:type="paragraph" w:styleId="Funotentext">
    <w:name w:val="footnote text"/>
    <w:basedOn w:val="Standard"/>
    <w:link w:val="FunotentextZchn"/>
    <w:rsid w:val="0092010E"/>
    <w:pPr>
      <w:overflowPunct w:val="0"/>
      <w:autoSpaceDE w:val="0"/>
      <w:autoSpaceDN w:val="0"/>
      <w:adjustRightInd w:val="0"/>
      <w:ind w:left="142" w:hanging="142"/>
      <w:textAlignment w:val="baseline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2010E"/>
    <w:rPr>
      <w:rFonts w:ascii="Arial" w:hAnsi="Arial"/>
      <w:sz w:val="18"/>
    </w:rPr>
  </w:style>
  <w:style w:type="paragraph" w:styleId="Aufzhlungszeichen">
    <w:name w:val="List Bullet"/>
    <w:basedOn w:val="Standard"/>
    <w:rsid w:val="0092010E"/>
    <w:pPr>
      <w:numPr>
        <w:numId w:val="1"/>
      </w:numPr>
    </w:pPr>
  </w:style>
  <w:style w:type="paragraph" w:customStyle="1" w:styleId="Standardfett">
    <w:name w:val="Standard fett"/>
    <w:basedOn w:val="Standard"/>
    <w:next w:val="Standard"/>
    <w:qFormat/>
    <w:rsid w:val="0092010E"/>
    <w:pPr>
      <w:jc w:val="left"/>
    </w:pPr>
    <w:rPr>
      <w:b/>
    </w:rPr>
  </w:style>
  <w:style w:type="paragraph" w:styleId="Liste">
    <w:name w:val="List"/>
    <w:basedOn w:val="Standard"/>
    <w:rsid w:val="0092010E"/>
    <w:pPr>
      <w:numPr>
        <w:numId w:val="2"/>
      </w:numPr>
      <w:jc w:val="left"/>
    </w:pPr>
  </w:style>
  <w:style w:type="paragraph" w:customStyle="1" w:styleId="Standardkursiv">
    <w:name w:val="Standard kursiv"/>
    <w:basedOn w:val="Standard"/>
    <w:qFormat/>
    <w:rsid w:val="0092010E"/>
    <w:rPr>
      <w:i/>
    </w:rPr>
  </w:style>
  <w:style w:type="character" w:styleId="Fett">
    <w:name w:val="Strong"/>
    <w:qFormat/>
    <w:rsid w:val="0092010E"/>
    <w:rPr>
      <w:rFonts w:ascii="Arial" w:hAnsi="Arial"/>
      <w:b/>
      <w:bCs/>
      <w:sz w:val="22"/>
    </w:rPr>
  </w:style>
  <w:style w:type="paragraph" w:styleId="Standardeinzug">
    <w:name w:val="Normal Indent"/>
    <w:basedOn w:val="Standard"/>
    <w:rsid w:val="0092010E"/>
    <w:pPr>
      <w:ind w:left="708"/>
    </w:pPr>
  </w:style>
  <w:style w:type="paragraph" w:customStyle="1" w:styleId="Pa4">
    <w:name w:val="Pa4"/>
    <w:basedOn w:val="Standard"/>
    <w:next w:val="Standard"/>
    <w:uiPriority w:val="99"/>
    <w:rsid w:val="0092010E"/>
    <w:pPr>
      <w:autoSpaceDE w:val="0"/>
      <w:autoSpaceDN w:val="0"/>
      <w:adjustRightInd w:val="0"/>
      <w:spacing w:before="0" w:after="0" w:line="181" w:lineRule="atLeast"/>
      <w:jc w:val="left"/>
    </w:pPr>
    <w:rPr>
      <w:rFonts w:ascii="Meta Serif Offc Book" w:eastAsia="Calibri" w:hAnsi="Meta Serif Off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uer-engel.de/de/produkte_marken/vergabegrundlage.php?id=1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omeDE\Huth$\Vorlagen\Norma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F0D5-1496-499F-A73A-A63E3EF8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6</Pages>
  <Words>782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UBA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</dc:creator>
  <cp:lastModifiedBy>kase</cp:lastModifiedBy>
  <cp:revision>6</cp:revision>
  <cp:lastPrinted>2015-09-04T09:21:00Z</cp:lastPrinted>
  <dcterms:created xsi:type="dcterms:W3CDTF">2015-06-01T09:02:00Z</dcterms:created>
  <dcterms:modified xsi:type="dcterms:W3CDTF">2015-09-04T09:21:00Z</dcterms:modified>
</cp:coreProperties>
</file>